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7A0E71A7"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E27A99">
        <w:rPr>
          <w:rFonts w:cs="Arial"/>
          <w:b/>
          <w:sz w:val="24"/>
          <w:szCs w:val="24"/>
        </w:rPr>
        <w:t>5</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200</w:t>
      </w:r>
      <w:r w:rsidR="00D1191C">
        <w:rPr>
          <w:rFonts w:cs="Arial"/>
          <w:b/>
          <w:sz w:val="24"/>
          <w:szCs w:val="24"/>
        </w:rPr>
        <w:t>8185</w:t>
      </w:r>
    </w:p>
    <w:p w14:paraId="31DCE6A5" w14:textId="32BA9557"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onic Meeting, 2</w:t>
      </w:r>
      <w:r w:rsidR="00E27A99">
        <w:rPr>
          <w:b/>
          <w:bCs/>
          <w:noProof/>
          <w:sz w:val="22"/>
          <w:lang w:eastAsia="zh-CN"/>
        </w:rPr>
        <w:t>5 May</w:t>
      </w:r>
      <w:r>
        <w:rPr>
          <w:b/>
          <w:bCs/>
          <w:noProof/>
          <w:sz w:val="22"/>
          <w:lang w:eastAsia="zh-CN"/>
        </w:rPr>
        <w:t xml:space="preserve"> – </w:t>
      </w:r>
      <w:r w:rsidR="00E27A99">
        <w:rPr>
          <w:b/>
          <w:bCs/>
          <w:noProof/>
          <w:sz w:val="22"/>
          <w:lang w:eastAsia="zh-CN"/>
        </w:rPr>
        <w:t>06</w:t>
      </w:r>
      <w:r>
        <w:rPr>
          <w:b/>
          <w:bCs/>
          <w:noProof/>
          <w:sz w:val="22"/>
          <w:lang w:eastAsia="zh-CN"/>
        </w:rPr>
        <w:t xml:space="preserve"> </w:t>
      </w:r>
      <w:r w:rsidR="00E27A99">
        <w:rPr>
          <w:b/>
          <w:bCs/>
          <w:noProof/>
          <w:sz w:val="22"/>
          <w:lang w:eastAsia="zh-CN"/>
        </w:rPr>
        <w:t>Jun</w:t>
      </w:r>
      <w:r w:rsidR="00CA73B9">
        <w:rPr>
          <w:b/>
          <w:bCs/>
          <w:noProof/>
          <w:sz w:val="22"/>
          <w:lang w:eastAsia="zh-CN"/>
        </w:rPr>
        <w:t>e</w:t>
      </w:r>
      <w:r>
        <w:rPr>
          <w:b/>
          <w:bCs/>
          <w:noProof/>
          <w:sz w:val="22"/>
          <w:lang w:eastAsia="zh-CN"/>
        </w:rPr>
        <w:t xml:space="preserve">, </w:t>
      </w:r>
      <w:r w:rsidRPr="00BB40EC">
        <w:rPr>
          <w:b/>
          <w:bCs/>
          <w:noProof/>
          <w:sz w:val="22"/>
          <w:lang w:eastAsia="zh-CN"/>
        </w:rPr>
        <w:t>20</w:t>
      </w:r>
      <w:r>
        <w:rPr>
          <w:b/>
          <w:bCs/>
          <w:noProof/>
          <w:sz w:val="22"/>
          <w:lang w:eastAsia="zh-CN"/>
        </w:rPr>
        <w:t>20</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53D273A"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987F2B">
        <w:rPr>
          <w:rFonts w:cs="Arial"/>
          <w:sz w:val="22"/>
        </w:rPr>
        <w:t xml:space="preserve">On Release </w:t>
      </w:r>
      <w:r w:rsidR="004445EB">
        <w:rPr>
          <w:rFonts w:cs="Arial"/>
          <w:sz w:val="22"/>
        </w:rPr>
        <w:t xml:space="preserve">15 and </w:t>
      </w:r>
      <w:r w:rsidR="00987F2B">
        <w:rPr>
          <w:rFonts w:cs="Arial"/>
          <w:sz w:val="22"/>
        </w:rPr>
        <w:t xml:space="preserve">16 two </w:t>
      </w:r>
      <w:r w:rsidR="00D1191C">
        <w:rPr>
          <w:rFonts w:cs="Arial"/>
          <w:sz w:val="22"/>
        </w:rPr>
        <w:t>I</w:t>
      </w:r>
      <w:r w:rsidR="00987F2B">
        <w:rPr>
          <w:rFonts w:cs="Arial"/>
          <w:sz w:val="22"/>
        </w:rPr>
        <w:t xml:space="preserve">ntra-band </w:t>
      </w:r>
      <w:r w:rsidR="00D1191C">
        <w:rPr>
          <w:rFonts w:cs="Arial"/>
          <w:sz w:val="22"/>
        </w:rPr>
        <w:t>T</w:t>
      </w:r>
      <w:r w:rsidR="00987F2B">
        <w:rPr>
          <w:rFonts w:cs="Arial"/>
          <w:sz w:val="22"/>
        </w:rPr>
        <w:t xml:space="preserve">ransmit </w:t>
      </w:r>
      <w:r w:rsidR="00D1191C">
        <w:rPr>
          <w:rFonts w:cs="Arial"/>
          <w:sz w:val="22"/>
        </w:rPr>
        <w:t>C</w:t>
      </w:r>
      <w:r w:rsidR="00987F2B">
        <w:rPr>
          <w:rFonts w:cs="Arial"/>
          <w:sz w:val="22"/>
        </w:rPr>
        <w:t xml:space="preserve">hain </w:t>
      </w:r>
      <w:r w:rsidR="00D1191C">
        <w:rPr>
          <w:rFonts w:cs="Arial"/>
          <w:sz w:val="22"/>
        </w:rPr>
        <w:t>C</w:t>
      </w:r>
      <w:r w:rsidR="00987F2B">
        <w:rPr>
          <w:rFonts w:cs="Arial"/>
          <w:sz w:val="22"/>
        </w:rPr>
        <w:t>ase</w:t>
      </w:r>
      <w:r w:rsidR="00D1191C">
        <w:rPr>
          <w:rFonts w:cs="Arial"/>
          <w:sz w:val="22"/>
        </w:rPr>
        <w:t>s</w:t>
      </w:r>
    </w:p>
    <w:p w14:paraId="73BCD5A1" w14:textId="783F2FD6"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D1191C" w:rsidRPr="00D1191C">
        <w:rPr>
          <w:rFonts w:ascii="Arial" w:hAnsi="Arial" w:cs="Arial"/>
          <w:sz w:val="22"/>
        </w:rPr>
        <w:t>6.11.1.2</w:t>
      </w:r>
      <w:r w:rsidR="00D1191C" w:rsidRPr="00D1191C">
        <w:rPr>
          <w:rFonts w:ascii="Arial" w:hAnsi="Arial" w:cs="Arial"/>
          <w:sz w:val="22"/>
        </w:rPr>
        <w:tab/>
        <w:t>Upl</w:t>
      </w:r>
      <w:r w:rsidR="00D1191C">
        <w:rPr>
          <w:rFonts w:ascii="Arial" w:hAnsi="Arial" w:cs="Arial"/>
          <w:sz w:val="22"/>
        </w:rPr>
        <w:t xml:space="preserve">ink </w:t>
      </w:r>
      <w:proofErr w:type="spellStart"/>
      <w:proofErr w:type="gramStart"/>
      <w:r w:rsidR="00D1191C">
        <w:rPr>
          <w:rFonts w:ascii="Arial" w:hAnsi="Arial" w:cs="Arial"/>
          <w:sz w:val="22"/>
        </w:rPr>
        <w:t>Tx</w:t>
      </w:r>
      <w:proofErr w:type="spellEnd"/>
      <w:proofErr w:type="gramEnd"/>
      <w:r w:rsidR="00D1191C">
        <w:rPr>
          <w:rFonts w:ascii="Arial" w:hAnsi="Arial" w:cs="Arial"/>
          <w:sz w:val="22"/>
        </w:rPr>
        <w:t xml:space="preserve"> Full Power transmission </w:t>
      </w:r>
      <w:r w:rsidR="00D1191C" w:rsidRPr="00D1191C">
        <w:rPr>
          <w:rFonts w:ascii="Arial" w:hAnsi="Arial" w:cs="Arial"/>
          <w:sz w:val="22"/>
        </w:rPr>
        <w:t>[</w:t>
      </w:r>
      <w:proofErr w:type="spellStart"/>
      <w:r w:rsidR="00D1191C" w:rsidRPr="00D1191C">
        <w:rPr>
          <w:rFonts w:ascii="Arial" w:hAnsi="Arial" w:cs="Arial"/>
          <w:sz w:val="22"/>
        </w:rPr>
        <w:t>NR_eMIMO</w:t>
      </w:r>
      <w:proofErr w:type="spellEnd"/>
      <w:r w:rsidR="00D1191C" w:rsidRPr="00D1191C">
        <w:rPr>
          <w:rFonts w:ascii="Arial" w:hAnsi="Arial" w:cs="Arial"/>
          <w:sz w:val="22"/>
        </w:rPr>
        <w:t>-Core]</w:t>
      </w:r>
    </w:p>
    <w:p w14:paraId="2E5C6AEA" w14:textId="15198D6E"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743A0D">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0541A380" w14:textId="525DDB9D" w:rsidR="00CE115C" w:rsidRPr="00CE115C" w:rsidRDefault="009A30BB" w:rsidP="00CE115C">
      <w:pPr>
        <w:jc w:val="both"/>
      </w:pPr>
      <w:r>
        <w:rPr>
          <w:rFonts w:eastAsia="SimSun"/>
          <w:lang w:eastAsia="zh-CN"/>
        </w:rPr>
        <w:t>In RAN</w:t>
      </w:r>
      <w:r w:rsidR="008063BB">
        <w:rPr>
          <w:rFonts w:eastAsia="SimSun"/>
          <w:lang w:eastAsia="zh-CN"/>
        </w:rPr>
        <w:t>4</w:t>
      </w:r>
      <w:r w:rsidR="00154E81">
        <w:rPr>
          <w:rFonts w:eastAsia="SimSun"/>
          <w:lang w:eastAsia="zh-CN"/>
        </w:rPr>
        <w:t>#</w:t>
      </w:r>
      <w:r w:rsidR="008063BB">
        <w:rPr>
          <w:rFonts w:eastAsia="SimSun"/>
          <w:lang w:eastAsia="zh-CN"/>
        </w:rPr>
        <w:t>9</w:t>
      </w:r>
      <w:r w:rsidR="00CC7830">
        <w:rPr>
          <w:rFonts w:eastAsia="SimSun"/>
          <w:lang w:eastAsia="zh-CN"/>
        </w:rPr>
        <w:t>4-</w:t>
      </w:r>
      <w:r w:rsidR="00CA73B9">
        <w:rPr>
          <w:rFonts w:eastAsia="SimSun"/>
          <w:lang w:eastAsia="zh-CN"/>
        </w:rPr>
        <w:t xml:space="preserve">Bis </w:t>
      </w:r>
      <w:r w:rsidR="00CC7830">
        <w:rPr>
          <w:rFonts w:eastAsia="SimSun"/>
          <w:lang w:eastAsia="zh-CN"/>
        </w:rPr>
        <w:t>e</w:t>
      </w:r>
      <w:r w:rsidR="00CA73B9">
        <w:rPr>
          <w:rFonts w:eastAsia="SimSun"/>
          <w:lang w:eastAsia="zh-CN"/>
        </w:rPr>
        <w:t>-</w:t>
      </w:r>
      <w:r w:rsidR="00154E81">
        <w:rPr>
          <w:rFonts w:eastAsia="SimSun"/>
          <w:lang w:eastAsia="zh-CN"/>
        </w:rPr>
        <w:t>meeting</w:t>
      </w:r>
      <w:r>
        <w:rPr>
          <w:rFonts w:eastAsia="SimSun"/>
          <w:lang w:eastAsia="zh-CN"/>
        </w:rPr>
        <w:t xml:space="preserve">, </w:t>
      </w:r>
      <w:r w:rsidR="00D625B7">
        <w:rPr>
          <w:rFonts w:eastAsia="SimSun"/>
          <w:lang w:eastAsia="zh-CN"/>
        </w:rPr>
        <w:t>two</w:t>
      </w:r>
      <w:r w:rsidR="00F13C62">
        <w:rPr>
          <w:rFonts w:eastAsia="SimSun"/>
          <w:lang w:eastAsia="zh-CN"/>
        </w:rPr>
        <w:t xml:space="preserve"> </w:t>
      </w:r>
      <w:r w:rsidR="00827829">
        <w:rPr>
          <w:rFonts w:eastAsia="SimSun"/>
          <w:lang w:eastAsia="zh-CN"/>
        </w:rPr>
        <w:t>W</w:t>
      </w:r>
      <w:r w:rsidR="00F13C62">
        <w:rPr>
          <w:rFonts w:eastAsia="SimSun"/>
          <w:lang w:eastAsia="zh-CN"/>
        </w:rPr>
        <w:t xml:space="preserve">ay </w:t>
      </w:r>
      <w:r w:rsidR="00827829">
        <w:rPr>
          <w:rFonts w:eastAsia="SimSun"/>
          <w:lang w:eastAsia="zh-CN"/>
        </w:rPr>
        <w:t>F</w:t>
      </w:r>
      <w:r w:rsidR="00F13C62">
        <w:rPr>
          <w:rFonts w:eastAsia="SimSun"/>
          <w:lang w:eastAsia="zh-CN"/>
        </w:rPr>
        <w:t>orward</w:t>
      </w:r>
      <w:r w:rsidR="00827829">
        <w:rPr>
          <w:rFonts w:eastAsia="SimSun"/>
          <w:lang w:eastAsia="zh-CN"/>
        </w:rPr>
        <w:t>s</w:t>
      </w:r>
      <w:r w:rsidR="00F13C62">
        <w:rPr>
          <w:rFonts w:eastAsia="SimSun"/>
          <w:lang w:eastAsia="zh-CN"/>
        </w:rPr>
        <w:t xml:space="preserve"> [</w:t>
      </w:r>
      <w:r w:rsidR="00D625B7">
        <w:rPr>
          <w:rFonts w:eastAsia="SimSun"/>
          <w:lang w:eastAsia="zh-CN"/>
        </w:rPr>
        <w:t>1, 2</w:t>
      </w:r>
      <w:r w:rsidR="00F13C62">
        <w:rPr>
          <w:rFonts w:eastAsia="SimSun"/>
          <w:lang w:eastAsia="zh-CN"/>
        </w:rPr>
        <w:t xml:space="preserve">] </w:t>
      </w:r>
      <w:r w:rsidR="00530BA0">
        <w:rPr>
          <w:rFonts w:eastAsia="SimSun"/>
          <w:lang w:eastAsia="zh-CN"/>
        </w:rPr>
        <w:t xml:space="preserve">addresses a long standing issue in RAN4 requirements and associated tests and signaling for the multiple implementations options using 2 transmit chain. </w:t>
      </w:r>
      <w:r w:rsidR="00D625B7">
        <w:rPr>
          <w:rFonts w:eastAsia="SimSun"/>
          <w:lang w:eastAsia="zh-CN"/>
        </w:rPr>
        <w:t>To ensure</w:t>
      </w:r>
      <w:r w:rsidR="00530BA0">
        <w:rPr>
          <w:rFonts w:eastAsia="SimSun"/>
          <w:lang w:eastAsia="zh-CN"/>
        </w:rPr>
        <w:t xml:space="preserve"> the same type of issue </w:t>
      </w:r>
      <w:r w:rsidR="00D625B7">
        <w:rPr>
          <w:rFonts w:eastAsia="SimSun"/>
          <w:lang w:eastAsia="zh-CN"/>
        </w:rPr>
        <w:t xml:space="preserve">doesn’t </w:t>
      </w:r>
      <w:r w:rsidR="000D5CC0">
        <w:rPr>
          <w:rFonts w:eastAsia="SimSun"/>
          <w:lang w:eastAsia="zh-CN"/>
        </w:rPr>
        <w:t>arise</w:t>
      </w:r>
      <w:r w:rsidR="00530BA0">
        <w:rPr>
          <w:rFonts w:eastAsia="SimSun"/>
          <w:lang w:eastAsia="zh-CN"/>
        </w:rPr>
        <w:t xml:space="preserve"> again this contribution looks into all the different</w:t>
      </w:r>
      <w:r w:rsidR="006A666B">
        <w:rPr>
          <w:rFonts w:eastAsia="SimSun"/>
          <w:lang w:eastAsia="zh-CN"/>
        </w:rPr>
        <w:t xml:space="preserve"> intra-band</w:t>
      </w:r>
      <w:r w:rsidR="00530BA0">
        <w:rPr>
          <w:rFonts w:eastAsia="SimSun"/>
          <w:lang w:eastAsia="zh-CN"/>
        </w:rPr>
        <w:t xml:space="preserve"> 2Tx cases in Release 16</w:t>
      </w:r>
      <w:r w:rsidR="00D625B7">
        <w:rPr>
          <w:rFonts w:eastAsia="SimSun"/>
          <w:lang w:eastAsia="zh-CN"/>
        </w:rPr>
        <w:t xml:space="preserve"> for examination</w:t>
      </w:r>
      <w:r w:rsidR="00530BA0">
        <w:rPr>
          <w:rFonts w:eastAsia="SimSun"/>
          <w:lang w:eastAsia="zh-CN"/>
        </w:rPr>
        <w:t>.</w:t>
      </w:r>
    </w:p>
    <w:p w14:paraId="77D2A5E5" w14:textId="1D000FF9" w:rsidR="000D5CC0" w:rsidRDefault="00853ECB" w:rsidP="000D5CC0">
      <w:pPr>
        <w:pStyle w:val="Heading1"/>
        <w:jc w:val="both"/>
        <w:rPr>
          <w:rFonts w:eastAsia="SimSun"/>
          <w:lang w:eastAsia="zh-CN"/>
        </w:rPr>
      </w:pPr>
      <w:r>
        <w:rPr>
          <w:rFonts w:eastAsia="SimSun" w:hint="eastAsia"/>
          <w:lang w:eastAsia="zh-CN"/>
        </w:rPr>
        <w:t>Discussion</w:t>
      </w:r>
    </w:p>
    <w:p w14:paraId="40637204" w14:textId="074995BF" w:rsidR="00DB1A7B" w:rsidRPr="00DB1A7B" w:rsidRDefault="000D5CC0" w:rsidP="00DB1A7B">
      <w:pPr>
        <w:pStyle w:val="Heading2"/>
        <w:numPr>
          <w:ilvl w:val="0"/>
          <w:numId w:val="0"/>
        </w:numPr>
        <w:spacing w:after="240"/>
        <w:rPr>
          <w:rFonts w:ascii="Times New Roman" w:eastAsia="Times New Roman" w:hAnsi="Times New Roman"/>
          <w:b/>
          <w:sz w:val="20"/>
          <w:lang w:val="en-US"/>
        </w:rPr>
      </w:pPr>
      <w:r w:rsidRPr="000D5CC0">
        <w:rPr>
          <w:rFonts w:ascii="Times New Roman" w:eastAsia="Times New Roman" w:hAnsi="Times New Roman"/>
          <w:b/>
          <w:sz w:val="20"/>
          <w:lang w:val="en-US"/>
        </w:rPr>
        <w:t xml:space="preserve">Disclaimer: This paper is trying to list all the Release 15 and 16 two </w:t>
      </w:r>
      <w:proofErr w:type="gramStart"/>
      <w:r w:rsidRPr="000D5CC0">
        <w:rPr>
          <w:rFonts w:ascii="Times New Roman" w:eastAsia="Times New Roman" w:hAnsi="Times New Roman"/>
          <w:b/>
          <w:sz w:val="20"/>
          <w:lang w:val="en-US"/>
        </w:rPr>
        <w:t>intra</w:t>
      </w:r>
      <w:r w:rsidR="00BA0F6A">
        <w:rPr>
          <w:rFonts w:ascii="Times New Roman" w:eastAsia="Times New Roman" w:hAnsi="Times New Roman"/>
          <w:b/>
          <w:sz w:val="20"/>
          <w:lang w:val="en-US"/>
        </w:rPr>
        <w:t>-</w:t>
      </w:r>
      <w:r w:rsidRPr="000D5CC0">
        <w:rPr>
          <w:rFonts w:ascii="Times New Roman" w:eastAsia="Times New Roman" w:hAnsi="Times New Roman"/>
          <w:b/>
          <w:sz w:val="20"/>
          <w:lang w:val="en-US"/>
        </w:rPr>
        <w:t>band</w:t>
      </w:r>
      <w:proofErr w:type="gramEnd"/>
      <w:r w:rsidRPr="000D5CC0">
        <w:rPr>
          <w:rFonts w:ascii="Times New Roman" w:eastAsia="Times New Roman" w:hAnsi="Times New Roman"/>
          <w:b/>
          <w:sz w:val="20"/>
          <w:lang w:val="en-US"/>
        </w:rPr>
        <w:t xml:space="preserve"> transmit chain cases and their implementation options. It may not </w:t>
      </w:r>
      <w:r w:rsidR="00BA0F6A">
        <w:rPr>
          <w:rFonts w:ascii="Times New Roman" w:eastAsia="Times New Roman" w:hAnsi="Times New Roman"/>
          <w:b/>
          <w:sz w:val="20"/>
          <w:lang w:val="en-US"/>
        </w:rPr>
        <w:t xml:space="preserve">always </w:t>
      </w:r>
      <w:r w:rsidRPr="000D5CC0">
        <w:rPr>
          <w:rFonts w:ascii="Times New Roman" w:eastAsia="Times New Roman" w:hAnsi="Times New Roman"/>
          <w:b/>
          <w:sz w:val="20"/>
          <w:lang w:val="en-US"/>
        </w:rPr>
        <w:t xml:space="preserve">capture </w:t>
      </w:r>
      <w:r w:rsidR="00C56C9D">
        <w:rPr>
          <w:rFonts w:ascii="Times New Roman" w:eastAsia="Times New Roman" w:hAnsi="Times New Roman"/>
          <w:b/>
          <w:sz w:val="20"/>
          <w:lang w:val="en-US"/>
        </w:rPr>
        <w:t xml:space="preserve">all the case and </w:t>
      </w:r>
      <w:r w:rsidRPr="000D5CC0">
        <w:rPr>
          <w:rFonts w:ascii="Times New Roman" w:eastAsia="Times New Roman" w:hAnsi="Times New Roman"/>
          <w:b/>
          <w:sz w:val="20"/>
          <w:lang w:val="en-US"/>
        </w:rPr>
        <w:t>the signaling and requirement status accurately</w:t>
      </w:r>
      <w:r w:rsidR="00BA0F6A">
        <w:rPr>
          <w:rFonts w:ascii="Times New Roman" w:eastAsia="Times New Roman" w:hAnsi="Times New Roman"/>
          <w:b/>
          <w:sz w:val="20"/>
          <w:lang w:val="en-US"/>
        </w:rPr>
        <w:t>,</w:t>
      </w:r>
      <w:r w:rsidRPr="000D5CC0">
        <w:rPr>
          <w:rFonts w:ascii="Times New Roman" w:eastAsia="Times New Roman" w:hAnsi="Times New Roman"/>
          <w:b/>
          <w:sz w:val="20"/>
          <w:lang w:val="en-US"/>
        </w:rPr>
        <w:t xml:space="preserve"> but the idea is to understand if there are missing aspects in the specification, test or signaling.</w:t>
      </w:r>
      <w:r w:rsidR="00DB1A7B">
        <w:rPr>
          <w:rFonts w:eastAsia="SimSun"/>
        </w:rPr>
        <w:t xml:space="preserve"> </w:t>
      </w:r>
    </w:p>
    <w:p w14:paraId="5CCE8731" w14:textId="22D1BE25" w:rsidR="00976A16" w:rsidRDefault="00530BA0" w:rsidP="00976A16">
      <w:pPr>
        <w:pStyle w:val="Heading2"/>
        <w:spacing w:after="240"/>
        <w:rPr>
          <w:sz w:val="36"/>
          <w:lang w:val="en-US"/>
        </w:rPr>
      </w:pPr>
      <w:r>
        <w:rPr>
          <w:sz w:val="36"/>
          <w:lang w:val="en-US"/>
        </w:rPr>
        <w:t xml:space="preserve">Release 15 </w:t>
      </w:r>
      <w:r w:rsidR="000327B3">
        <w:rPr>
          <w:sz w:val="36"/>
          <w:lang w:val="en-US"/>
        </w:rPr>
        <w:t xml:space="preserve">two </w:t>
      </w:r>
      <w:r w:rsidR="00BA0F6A">
        <w:rPr>
          <w:sz w:val="36"/>
          <w:lang w:val="en-US"/>
        </w:rPr>
        <w:t>I</w:t>
      </w:r>
      <w:r w:rsidR="000327B3">
        <w:rPr>
          <w:sz w:val="36"/>
          <w:lang w:val="en-US"/>
        </w:rPr>
        <w:t>ntra</w:t>
      </w:r>
      <w:r w:rsidR="00BA0F6A">
        <w:rPr>
          <w:sz w:val="36"/>
          <w:lang w:val="en-US"/>
        </w:rPr>
        <w:t>-</w:t>
      </w:r>
      <w:r w:rsidR="000327B3">
        <w:rPr>
          <w:sz w:val="36"/>
          <w:lang w:val="en-US"/>
        </w:rPr>
        <w:t xml:space="preserve">band </w:t>
      </w:r>
      <w:r w:rsidR="00BA0F6A">
        <w:rPr>
          <w:sz w:val="36"/>
          <w:lang w:val="en-US"/>
        </w:rPr>
        <w:t>T</w:t>
      </w:r>
      <w:r w:rsidR="000327B3">
        <w:rPr>
          <w:sz w:val="36"/>
          <w:lang w:val="en-US"/>
        </w:rPr>
        <w:t>ransmit</w:t>
      </w:r>
      <w:r>
        <w:rPr>
          <w:sz w:val="36"/>
          <w:lang w:val="en-US"/>
        </w:rPr>
        <w:t xml:space="preserve"> </w:t>
      </w:r>
      <w:r w:rsidR="00BA0F6A">
        <w:rPr>
          <w:sz w:val="36"/>
          <w:lang w:val="en-US"/>
        </w:rPr>
        <w:t>C</w:t>
      </w:r>
      <w:r>
        <w:rPr>
          <w:sz w:val="36"/>
          <w:lang w:val="en-US"/>
        </w:rPr>
        <w:t>ases</w:t>
      </w:r>
    </w:p>
    <w:p w14:paraId="79394A46" w14:textId="4A108FD6" w:rsidR="00A5744F" w:rsidRDefault="00DB1A7B" w:rsidP="00CE115C">
      <w:pPr>
        <w:jc w:val="both"/>
      </w:pPr>
      <w:r>
        <w:t>In release 15, the use of two intra-band transmit chains in has been confined to UEs supporting UL MIMO or intra-band TDD ENDC, Table 1 tries to collect all the cases that have been discussed in release 15.</w:t>
      </w:r>
    </w:p>
    <w:p w14:paraId="66E86D80" w14:textId="0F210FD4" w:rsidR="002C6E3A" w:rsidRPr="004445EB" w:rsidRDefault="002C6E3A" w:rsidP="002C6E3A">
      <w:pPr>
        <w:pStyle w:val="Caption"/>
        <w:keepNext/>
        <w:jc w:val="center"/>
        <w:rPr>
          <w:lang w:val="en-CA"/>
        </w:rPr>
      </w:pPr>
      <w:r>
        <w:t xml:space="preserve">Table </w:t>
      </w:r>
      <w:fldSimple w:instr=" SEQ Table \* ARABIC ">
        <w:r>
          <w:rPr>
            <w:noProof/>
          </w:rPr>
          <w:t>1</w:t>
        </w:r>
      </w:fldSimple>
      <w:r>
        <w:t>: list of two intra-band transmit cases for Release 15</w:t>
      </w:r>
    </w:p>
    <w:tbl>
      <w:tblPr>
        <w:tblW w:w="9735" w:type="dxa"/>
        <w:jc w:val="center"/>
        <w:tblLayout w:type="fixed"/>
        <w:tblCellMar>
          <w:left w:w="0" w:type="dxa"/>
          <w:right w:w="0" w:type="dxa"/>
        </w:tblCellMar>
        <w:tblLook w:val="04A0" w:firstRow="1" w:lastRow="0" w:firstColumn="1" w:lastColumn="0" w:noHBand="0" w:noVBand="1"/>
      </w:tblPr>
      <w:tblGrid>
        <w:gridCol w:w="1524"/>
        <w:gridCol w:w="1800"/>
        <w:gridCol w:w="2070"/>
        <w:gridCol w:w="2271"/>
        <w:gridCol w:w="2070"/>
      </w:tblGrid>
      <w:tr w:rsidR="00DB1A7B" w14:paraId="1AA47E8E" w14:textId="77777777" w:rsidTr="00DB1A7B">
        <w:trPr>
          <w:trHeight w:val="288"/>
          <w:jc w:val="center"/>
        </w:trPr>
        <w:tc>
          <w:tcPr>
            <w:tcW w:w="15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89DDFB0" w14:textId="0F8691C4" w:rsidR="00DB1A7B" w:rsidRDefault="00DB1A7B" w:rsidP="004445EB">
            <w:pPr>
              <w:spacing w:after="0"/>
              <w:jc w:val="center"/>
              <w:rPr>
                <w:rFonts w:ascii="Calibri" w:hAnsi="Calibri"/>
                <w:color w:val="000000"/>
                <w:sz w:val="22"/>
                <w:szCs w:val="22"/>
              </w:rPr>
            </w:pPr>
            <w:r>
              <w:rPr>
                <w:rFonts w:ascii="Calibri" w:hAnsi="Calibri"/>
                <w:color w:val="000000"/>
                <w:sz w:val="22"/>
                <w:szCs w:val="22"/>
              </w:rPr>
              <w:t xml:space="preserve">Driving </w:t>
            </w:r>
            <w:r w:rsidR="004445EB">
              <w:rPr>
                <w:rFonts w:ascii="Calibri" w:hAnsi="Calibri"/>
                <w:color w:val="000000"/>
                <w:sz w:val="22"/>
                <w:szCs w:val="22"/>
              </w:rPr>
              <w:t>Feature</w:t>
            </w:r>
          </w:p>
        </w:tc>
        <w:tc>
          <w:tcPr>
            <w:tcW w:w="18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B9B1D62"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Implementation</w:t>
            </w:r>
          </w:p>
        </w:tc>
        <w:tc>
          <w:tcPr>
            <w:tcW w:w="207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8C30628" w14:textId="3892BB1C" w:rsidR="00DB1A7B" w:rsidRDefault="00DB1A7B" w:rsidP="00DB1A7B">
            <w:pPr>
              <w:spacing w:after="0"/>
              <w:jc w:val="center"/>
              <w:rPr>
                <w:rFonts w:ascii="Calibri" w:hAnsi="Calibri"/>
                <w:color w:val="000000"/>
                <w:sz w:val="22"/>
                <w:szCs w:val="22"/>
              </w:rPr>
            </w:pPr>
            <w:r>
              <w:rPr>
                <w:rFonts w:ascii="Calibri" w:hAnsi="Calibri"/>
                <w:color w:val="000000"/>
                <w:sz w:val="22"/>
                <w:szCs w:val="22"/>
              </w:rPr>
              <w:t>Mode</w:t>
            </w:r>
            <w:r w:rsidR="004445EB">
              <w:rPr>
                <w:rFonts w:ascii="Calibri" w:hAnsi="Calibri"/>
                <w:color w:val="000000"/>
                <w:sz w:val="22"/>
                <w:szCs w:val="22"/>
              </w:rPr>
              <w:t xml:space="preserve"> Potentially</w:t>
            </w:r>
            <w:r>
              <w:rPr>
                <w:rFonts w:ascii="Calibri" w:hAnsi="Calibri"/>
                <w:color w:val="000000"/>
                <w:sz w:val="22"/>
                <w:szCs w:val="22"/>
              </w:rPr>
              <w:t xml:space="preserve"> affected</w:t>
            </w:r>
          </w:p>
        </w:tc>
        <w:tc>
          <w:tcPr>
            <w:tcW w:w="227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CCFDFEF"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Requirement status</w:t>
            </w:r>
          </w:p>
        </w:tc>
        <w:tc>
          <w:tcPr>
            <w:tcW w:w="207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DCE9E88"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Signaling</w:t>
            </w:r>
          </w:p>
        </w:tc>
      </w:tr>
      <w:tr w:rsidR="00DB1A7B" w14:paraId="681D6FE2" w14:textId="77777777" w:rsidTr="00DB1A7B">
        <w:trPr>
          <w:trHeight w:val="444"/>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397DB70"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PC2 UL MIMO</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CA26F6"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2x23dBm PA</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D458BF3"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one layer operation using TX Diversity</w:t>
            </w:r>
          </w:p>
        </w:tc>
        <w:tc>
          <w:tcPr>
            <w:tcW w:w="227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016C849"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MPR in UL MIMO and one layer mode TBD</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50E7EA6"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2TX signaling for single port mode?</w:t>
            </w:r>
          </w:p>
        </w:tc>
      </w:tr>
      <w:tr w:rsidR="00DB1A7B" w14:paraId="097A7A29" w14:textId="77777777" w:rsidTr="00DB1A7B">
        <w:trPr>
          <w:trHeight w:val="288"/>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C5A192D"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PC2 UL MIMO</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784B8A7"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2x26dBm PA</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9ACA852"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none</w:t>
            </w:r>
          </w:p>
        </w:tc>
        <w:tc>
          <w:tcPr>
            <w:tcW w:w="227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C240D5"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One layer PC2 MPR can apply to all modes</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9C2D7C5"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 xml:space="preserve">SA Power class </w:t>
            </w:r>
          </w:p>
          <w:p w14:paraId="0A3E0CB7" w14:textId="32DC74C9" w:rsidR="00DB1A7B" w:rsidRDefault="00DB1A7B" w:rsidP="00DB1A7B">
            <w:pPr>
              <w:spacing w:after="0"/>
              <w:jc w:val="center"/>
              <w:rPr>
                <w:rFonts w:ascii="Calibri" w:hAnsi="Calibri"/>
                <w:color w:val="000000"/>
                <w:sz w:val="22"/>
                <w:szCs w:val="22"/>
              </w:rPr>
            </w:pPr>
            <w:r>
              <w:rPr>
                <w:rFonts w:ascii="Calibri" w:hAnsi="Calibri"/>
                <w:color w:val="000000"/>
                <w:sz w:val="22"/>
                <w:szCs w:val="22"/>
              </w:rPr>
              <w:t>+ UL MIMO</w:t>
            </w:r>
          </w:p>
        </w:tc>
      </w:tr>
      <w:tr w:rsidR="00DB1A7B" w14:paraId="35D72F9D" w14:textId="77777777" w:rsidTr="00DB1A7B">
        <w:trPr>
          <w:trHeight w:val="288"/>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AAD3AC8"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PC2 UL MIMO</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2B4D3DD"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26dBm PA + 23dBm PA</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E308A86"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none</w:t>
            </w:r>
          </w:p>
        </w:tc>
        <w:tc>
          <w:tcPr>
            <w:tcW w:w="227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73EE3DC"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MPR in UL MIMO mode TBD</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2180D4E"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 xml:space="preserve">SA Power class </w:t>
            </w:r>
          </w:p>
          <w:p w14:paraId="42B85D11" w14:textId="2FC330D2" w:rsidR="00DB1A7B" w:rsidRDefault="00DB1A7B" w:rsidP="00DB1A7B">
            <w:pPr>
              <w:spacing w:after="0"/>
              <w:jc w:val="center"/>
              <w:rPr>
                <w:rFonts w:ascii="Calibri" w:hAnsi="Calibri"/>
                <w:color w:val="000000"/>
                <w:sz w:val="22"/>
                <w:szCs w:val="22"/>
              </w:rPr>
            </w:pPr>
            <w:r>
              <w:rPr>
                <w:rFonts w:ascii="Calibri" w:hAnsi="Calibri"/>
                <w:color w:val="000000"/>
                <w:sz w:val="22"/>
                <w:szCs w:val="22"/>
              </w:rPr>
              <w:t>+ UL MIMO</w:t>
            </w:r>
          </w:p>
        </w:tc>
      </w:tr>
      <w:tr w:rsidR="00DB1A7B" w14:paraId="39C3E0DF" w14:textId="77777777" w:rsidTr="00DB1A7B">
        <w:trPr>
          <w:trHeight w:val="288"/>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B4A7D18"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TDD PC2 intra band ENDC</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3ADBA25"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2x23dBm PA</w:t>
            </w:r>
          </w:p>
        </w:tc>
        <w:tc>
          <w:tcPr>
            <w:tcW w:w="2070"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14:paraId="0ACAC84E"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UL MIMO support in ENDC mode</w:t>
            </w:r>
          </w:p>
        </w:tc>
        <w:tc>
          <w:tcPr>
            <w:tcW w:w="227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07307EB"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No UL MIMO in ENDC mode</w:t>
            </w:r>
            <w:r>
              <w:rPr>
                <w:rFonts w:ascii="Calibri" w:hAnsi="Calibri"/>
                <w:color w:val="000000"/>
                <w:sz w:val="22"/>
                <w:szCs w:val="22"/>
              </w:rPr>
              <w:br/>
              <w:t>MPR and AMPR cover all cases</w:t>
            </w:r>
          </w:p>
        </w:tc>
        <w:tc>
          <w:tcPr>
            <w:tcW w:w="2070"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E34A6B4"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 xml:space="preserve">2TX </w:t>
            </w:r>
          </w:p>
          <w:p w14:paraId="780382F5" w14:textId="74EC2CFE" w:rsidR="00DB1A7B" w:rsidRDefault="00DB1A7B" w:rsidP="00DB1A7B">
            <w:pPr>
              <w:spacing w:after="0"/>
              <w:jc w:val="center"/>
              <w:rPr>
                <w:rFonts w:ascii="Calibri" w:hAnsi="Calibri"/>
                <w:color w:val="000000"/>
                <w:sz w:val="22"/>
                <w:szCs w:val="22"/>
              </w:rPr>
            </w:pPr>
            <w:r>
              <w:rPr>
                <w:rFonts w:ascii="Calibri" w:hAnsi="Calibri"/>
                <w:color w:val="000000"/>
                <w:sz w:val="22"/>
                <w:szCs w:val="22"/>
              </w:rPr>
              <w:t>+ LTE/NR/ENDC power class</w:t>
            </w:r>
          </w:p>
        </w:tc>
      </w:tr>
      <w:tr w:rsidR="00DB1A7B" w14:paraId="777D916A" w14:textId="77777777" w:rsidTr="00DB1A7B">
        <w:trPr>
          <w:trHeight w:val="288"/>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A96AC32"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TDD PC2 intra band ENDC</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158C431"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2x26dBm PA</w:t>
            </w:r>
          </w:p>
        </w:tc>
        <w:tc>
          <w:tcPr>
            <w:tcW w:w="2070" w:type="dxa"/>
            <w:vMerge/>
            <w:tcBorders>
              <w:top w:val="nil"/>
              <w:left w:val="single" w:sz="4" w:space="0" w:color="auto"/>
              <w:bottom w:val="single" w:sz="4" w:space="0" w:color="000000"/>
              <w:right w:val="single" w:sz="4" w:space="0" w:color="auto"/>
            </w:tcBorders>
            <w:vAlign w:val="center"/>
            <w:hideMark/>
          </w:tcPr>
          <w:p w14:paraId="756B7752" w14:textId="77777777" w:rsidR="00DB1A7B" w:rsidRDefault="00DB1A7B" w:rsidP="00DB1A7B">
            <w:pPr>
              <w:spacing w:after="0"/>
              <w:rPr>
                <w:rFonts w:ascii="Calibri" w:hAnsi="Calibri"/>
                <w:color w:val="000000"/>
                <w:sz w:val="22"/>
                <w:szCs w:val="22"/>
              </w:rPr>
            </w:pPr>
          </w:p>
        </w:tc>
        <w:tc>
          <w:tcPr>
            <w:tcW w:w="2271" w:type="dxa"/>
            <w:vMerge/>
            <w:tcBorders>
              <w:top w:val="nil"/>
              <w:left w:val="single" w:sz="4" w:space="0" w:color="auto"/>
              <w:bottom w:val="single" w:sz="4" w:space="0" w:color="auto"/>
              <w:right w:val="single" w:sz="4" w:space="0" w:color="auto"/>
            </w:tcBorders>
            <w:vAlign w:val="center"/>
            <w:hideMark/>
          </w:tcPr>
          <w:p w14:paraId="36CD77CE" w14:textId="77777777" w:rsidR="00DB1A7B" w:rsidRDefault="00DB1A7B" w:rsidP="00DB1A7B">
            <w:pPr>
              <w:spacing w:after="0"/>
              <w:rPr>
                <w:rFonts w:ascii="Calibri" w:hAnsi="Calibri"/>
                <w:color w:val="000000"/>
                <w:sz w:val="22"/>
                <w:szCs w:val="22"/>
              </w:rPr>
            </w:pPr>
          </w:p>
        </w:tc>
        <w:tc>
          <w:tcPr>
            <w:tcW w:w="2070" w:type="dxa"/>
            <w:vMerge/>
            <w:tcBorders>
              <w:top w:val="nil"/>
              <w:left w:val="single" w:sz="4" w:space="0" w:color="auto"/>
              <w:bottom w:val="single" w:sz="4" w:space="0" w:color="auto"/>
              <w:right w:val="single" w:sz="4" w:space="0" w:color="auto"/>
            </w:tcBorders>
            <w:vAlign w:val="center"/>
            <w:hideMark/>
          </w:tcPr>
          <w:p w14:paraId="0379ECC9" w14:textId="77777777" w:rsidR="00DB1A7B" w:rsidRDefault="00DB1A7B" w:rsidP="00DB1A7B">
            <w:pPr>
              <w:spacing w:after="0"/>
              <w:rPr>
                <w:rFonts w:ascii="Calibri" w:hAnsi="Calibri"/>
                <w:color w:val="000000"/>
                <w:sz w:val="22"/>
                <w:szCs w:val="22"/>
              </w:rPr>
            </w:pPr>
          </w:p>
        </w:tc>
      </w:tr>
      <w:tr w:rsidR="00DB1A7B" w14:paraId="5DA2400A" w14:textId="77777777" w:rsidTr="00DB1A7B">
        <w:trPr>
          <w:trHeight w:val="288"/>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7408AC4"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TDD  intra band ENDC</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2185366"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1xPA</w:t>
            </w:r>
          </w:p>
        </w:tc>
        <w:tc>
          <w:tcPr>
            <w:tcW w:w="2070"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A4453DC"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applied MPR in 1TX case, SUO may apply in some cases</w:t>
            </w:r>
          </w:p>
        </w:tc>
        <w:tc>
          <w:tcPr>
            <w:tcW w:w="227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A51F6AA"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no MPR in spec for single PA</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570A622" w14:textId="46310975" w:rsidR="00DB1A7B" w:rsidRDefault="00DB1A7B" w:rsidP="00DB1A7B">
            <w:pPr>
              <w:spacing w:after="0"/>
              <w:jc w:val="center"/>
              <w:rPr>
                <w:rFonts w:ascii="Calibri" w:hAnsi="Calibri"/>
                <w:color w:val="000000"/>
                <w:sz w:val="22"/>
                <w:szCs w:val="22"/>
              </w:rPr>
            </w:pPr>
            <w:r>
              <w:rPr>
                <w:rFonts w:ascii="Calibri" w:hAnsi="Calibri"/>
                <w:color w:val="000000"/>
                <w:sz w:val="22"/>
                <w:szCs w:val="22"/>
              </w:rPr>
              <w:t>LTE/NR/ENDC power class</w:t>
            </w:r>
          </w:p>
        </w:tc>
      </w:tr>
      <w:tr w:rsidR="00DB1A7B" w14:paraId="141E9CBA" w14:textId="77777777" w:rsidTr="00DB1A7B">
        <w:trPr>
          <w:trHeight w:val="576"/>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47FA9BB"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FDD PC3 intra band ENDC</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09F4C91"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2x23dBm PA or 1x23dBm PA</w:t>
            </w:r>
          </w:p>
        </w:tc>
        <w:tc>
          <w:tcPr>
            <w:tcW w:w="2070" w:type="dxa"/>
            <w:vMerge/>
            <w:tcBorders>
              <w:top w:val="nil"/>
              <w:left w:val="single" w:sz="4" w:space="0" w:color="auto"/>
              <w:bottom w:val="single" w:sz="4" w:space="0" w:color="auto"/>
              <w:right w:val="single" w:sz="4" w:space="0" w:color="auto"/>
            </w:tcBorders>
            <w:vAlign w:val="center"/>
            <w:hideMark/>
          </w:tcPr>
          <w:p w14:paraId="1A492427" w14:textId="77777777" w:rsidR="00DB1A7B" w:rsidRDefault="00DB1A7B" w:rsidP="00DB1A7B">
            <w:pPr>
              <w:spacing w:after="0"/>
              <w:rPr>
                <w:rFonts w:ascii="Calibri" w:hAnsi="Calibri"/>
                <w:color w:val="000000"/>
                <w:sz w:val="22"/>
                <w:szCs w:val="22"/>
              </w:rPr>
            </w:pPr>
          </w:p>
        </w:tc>
        <w:tc>
          <w:tcPr>
            <w:tcW w:w="2271" w:type="dxa"/>
            <w:vMerge/>
            <w:tcBorders>
              <w:top w:val="nil"/>
              <w:left w:val="single" w:sz="4" w:space="0" w:color="auto"/>
              <w:bottom w:val="single" w:sz="4" w:space="0" w:color="auto"/>
              <w:right w:val="single" w:sz="4" w:space="0" w:color="auto"/>
            </w:tcBorders>
            <w:vAlign w:val="center"/>
            <w:hideMark/>
          </w:tcPr>
          <w:p w14:paraId="02FCBEF8" w14:textId="77777777" w:rsidR="00DB1A7B" w:rsidRDefault="00DB1A7B" w:rsidP="00DB1A7B">
            <w:pPr>
              <w:spacing w:after="0"/>
              <w:rPr>
                <w:rFonts w:ascii="Calibri" w:hAnsi="Calibri"/>
                <w:color w:val="000000"/>
                <w:sz w:val="22"/>
                <w:szCs w:val="22"/>
              </w:rPr>
            </w:pP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386F1CE"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 xml:space="preserve">2TX or SUO(1TX) </w:t>
            </w:r>
          </w:p>
          <w:p w14:paraId="3536D88E" w14:textId="0AF7241C" w:rsidR="00DB1A7B" w:rsidRDefault="00DB1A7B" w:rsidP="00DB1A7B">
            <w:pPr>
              <w:spacing w:after="0"/>
              <w:jc w:val="center"/>
              <w:rPr>
                <w:rFonts w:ascii="Calibri" w:hAnsi="Calibri"/>
                <w:color w:val="000000"/>
                <w:sz w:val="22"/>
                <w:szCs w:val="22"/>
              </w:rPr>
            </w:pPr>
            <w:r>
              <w:rPr>
                <w:rFonts w:ascii="Calibri" w:hAnsi="Calibri"/>
                <w:color w:val="000000"/>
                <w:sz w:val="22"/>
                <w:szCs w:val="22"/>
              </w:rPr>
              <w:t>+ LTE/NR/ENDC power class</w:t>
            </w:r>
          </w:p>
        </w:tc>
      </w:tr>
      <w:tr w:rsidR="00DB1A7B" w14:paraId="0B4CEDF8" w14:textId="77777777" w:rsidTr="00DB1A7B">
        <w:trPr>
          <w:trHeight w:val="576"/>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56F4D94"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intra band ENDC</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A0027F1"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1 PA case</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3092817"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ENDC mode not evaluated, SUO may apply in some cases</w:t>
            </w:r>
          </w:p>
        </w:tc>
        <w:tc>
          <w:tcPr>
            <w:tcW w:w="227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1539E2D"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no MPR in spec for single PA</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FE7D115" w14:textId="77777777" w:rsidR="00DB1A7B" w:rsidRDefault="00DB1A7B" w:rsidP="00DB1A7B">
            <w:pPr>
              <w:spacing w:after="0"/>
              <w:jc w:val="center"/>
              <w:rPr>
                <w:rFonts w:ascii="Calibri" w:hAnsi="Calibri"/>
                <w:color w:val="000000"/>
                <w:sz w:val="22"/>
                <w:szCs w:val="22"/>
              </w:rPr>
            </w:pPr>
            <w:r>
              <w:rPr>
                <w:rFonts w:ascii="Calibri" w:hAnsi="Calibri"/>
                <w:color w:val="000000"/>
                <w:sz w:val="22"/>
                <w:szCs w:val="22"/>
              </w:rPr>
              <w:t>SUO(1TX) in some cases</w:t>
            </w:r>
          </w:p>
        </w:tc>
      </w:tr>
    </w:tbl>
    <w:p w14:paraId="1907ECA3" w14:textId="7F7B6523" w:rsidR="00A71C52" w:rsidRPr="00A71C52" w:rsidRDefault="00DB1A7B" w:rsidP="00DB1A7B">
      <w:pPr>
        <w:spacing w:after="0"/>
        <w:jc w:val="both"/>
        <w:rPr>
          <w:bCs/>
        </w:rPr>
      </w:pPr>
      <w:r>
        <w:rPr>
          <w:rStyle w:val="Strong"/>
          <w:rFonts w:ascii="Arial" w:eastAsia="Arial" w:hAnsi="Arial"/>
          <w:sz w:val="22"/>
          <w:lang w:val="en-GB"/>
        </w:rPr>
        <w:t xml:space="preserve"> </w:t>
      </w:r>
    </w:p>
    <w:p w14:paraId="72952DA2" w14:textId="31136C28" w:rsidR="00A71C52" w:rsidRDefault="00DB1A7B" w:rsidP="00A71C52">
      <w:pPr>
        <w:spacing w:after="0"/>
        <w:jc w:val="both"/>
        <w:rPr>
          <w:b/>
          <w:bCs/>
        </w:rPr>
      </w:pPr>
      <w:r>
        <w:rPr>
          <w:b/>
          <w:bCs/>
        </w:rPr>
        <w:t>Observation</w:t>
      </w:r>
      <w:r w:rsidR="00A71C52" w:rsidRPr="00A71C52">
        <w:rPr>
          <w:b/>
          <w:bCs/>
        </w:rPr>
        <w:t>:</w:t>
      </w:r>
    </w:p>
    <w:p w14:paraId="6B93E47C" w14:textId="65641488" w:rsidR="00A71C52" w:rsidRDefault="00DB1A7B" w:rsidP="00DB1A7B">
      <w:pPr>
        <w:pStyle w:val="ListParagraph"/>
        <w:numPr>
          <w:ilvl w:val="0"/>
          <w:numId w:val="22"/>
        </w:numPr>
        <w:spacing w:after="0"/>
        <w:jc w:val="both"/>
        <w:rPr>
          <w:b/>
          <w:bCs/>
        </w:rPr>
      </w:pPr>
      <w:r>
        <w:rPr>
          <w:b/>
          <w:bCs/>
        </w:rPr>
        <w:t xml:space="preserve">Most of issues that are tackled in [1] relate to </w:t>
      </w:r>
      <w:proofErr w:type="spellStart"/>
      <w:r>
        <w:rPr>
          <w:b/>
          <w:bCs/>
        </w:rPr>
        <w:t>Tx</w:t>
      </w:r>
      <w:proofErr w:type="spellEnd"/>
      <w:r>
        <w:rPr>
          <w:b/>
          <w:bCs/>
        </w:rPr>
        <w:t xml:space="preserve"> Diversity support and MPR for different PC2 UL MIMO implementations</w:t>
      </w:r>
    </w:p>
    <w:p w14:paraId="197971FF" w14:textId="2D0279A2" w:rsidR="00FF2AB5" w:rsidRPr="00A71C52" w:rsidRDefault="000327B3" w:rsidP="00A71C52">
      <w:pPr>
        <w:pStyle w:val="ListParagraph"/>
        <w:numPr>
          <w:ilvl w:val="0"/>
          <w:numId w:val="22"/>
        </w:numPr>
        <w:rPr>
          <w:b/>
        </w:rPr>
      </w:pPr>
      <w:r>
        <w:rPr>
          <w:b/>
        </w:rPr>
        <w:lastRenderedPageBreak/>
        <w:t>Intra-band ENDC support in release 15 is focused to very specific cases and 1TX case is not well supported</w:t>
      </w:r>
      <w:r w:rsidR="00BA0F6A">
        <w:rPr>
          <w:b/>
        </w:rPr>
        <w:t>.</w:t>
      </w:r>
    </w:p>
    <w:p w14:paraId="4E26B22B" w14:textId="1B67829C" w:rsidR="00530BA0" w:rsidRDefault="00530BA0" w:rsidP="00530BA0">
      <w:pPr>
        <w:pStyle w:val="Heading2"/>
        <w:spacing w:after="240"/>
        <w:rPr>
          <w:sz w:val="36"/>
          <w:lang w:val="en-US"/>
        </w:rPr>
      </w:pPr>
      <w:r>
        <w:rPr>
          <w:sz w:val="36"/>
          <w:lang w:val="en-US"/>
        </w:rPr>
        <w:t>Release 1</w:t>
      </w:r>
      <w:r w:rsidR="000327B3">
        <w:rPr>
          <w:sz w:val="36"/>
          <w:lang w:val="en-US"/>
        </w:rPr>
        <w:t>6</w:t>
      </w:r>
      <w:r>
        <w:rPr>
          <w:sz w:val="36"/>
          <w:lang w:val="en-US"/>
        </w:rPr>
        <w:t xml:space="preserve"> </w:t>
      </w:r>
      <w:r w:rsidR="000327B3">
        <w:rPr>
          <w:sz w:val="36"/>
          <w:lang w:val="en-US"/>
        </w:rPr>
        <w:t xml:space="preserve">two </w:t>
      </w:r>
      <w:r w:rsidR="00BA0F6A">
        <w:rPr>
          <w:sz w:val="36"/>
          <w:lang w:val="en-US"/>
        </w:rPr>
        <w:t>I</w:t>
      </w:r>
      <w:r w:rsidR="000327B3">
        <w:rPr>
          <w:sz w:val="36"/>
          <w:lang w:val="en-US"/>
        </w:rPr>
        <w:t>ntra</w:t>
      </w:r>
      <w:r w:rsidR="00BA0F6A">
        <w:rPr>
          <w:sz w:val="36"/>
          <w:lang w:val="en-US"/>
        </w:rPr>
        <w:t>-</w:t>
      </w:r>
      <w:r w:rsidR="000327B3">
        <w:rPr>
          <w:sz w:val="36"/>
          <w:lang w:val="en-US"/>
        </w:rPr>
        <w:t xml:space="preserve">band </w:t>
      </w:r>
      <w:r w:rsidR="00BA0F6A">
        <w:rPr>
          <w:sz w:val="36"/>
          <w:lang w:val="en-US"/>
        </w:rPr>
        <w:t>T</w:t>
      </w:r>
      <w:r w:rsidR="000327B3">
        <w:rPr>
          <w:sz w:val="36"/>
          <w:lang w:val="en-US"/>
        </w:rPr>
        <w:t xml:space="preserve">ransmit </w:t>
      </w:r>
      <w:r w:rsidR="00BA0F6A">
        <w:rPr>
          <w:sz w:val="36"/>
          <w:lang w:val="en-US"/>
        </w:rPr>
        <w:t>C</w:t>
      </w:r>
      <w:r w:rsidR="000327B3">
        <w:rPr>
          <w:sz w:val="36"/>
          <w:lang w:val="en-US"/>
        </w:rPr>
        <w:t>ases</w:t>
      </w:r>
    </w:p>
    <w:p w14:paraId="5D2E92AB" w14:textId="628FC5B6" w:rsidR="002C6E3A" w:rsidRDefault="002C6E3A" w:rsidP="002C6E3A">
      <w:pPr>
        <w:jc w:val="both"/>
      </w:pPr>
      <w:r>
        <w:t xml:space="preserve">In release 16, the use of two intra-band transmit chains is spreading to multiple cases </w:t>
      </w:r>
      <w:r w:rsidR="00663B49">
        <w:t xml:space="preserve">and affect almost all new Release 16 UL features </w:t>
      </w:r>
      <w:r>
        <w:t>and Table 2 tries to collect those together with potential need for new requirements and new signaling.</w:t>
      </w:r>
    </w:p>
    <w:p w14:paraId="2BFCE1AB" w14:textId="69621459" w:rsidR="00AB5F90" w:rsidRDefault="00AB5F90" w:rsidP="00AB5F90">
      <w:pPr>
        <w:pStyle w:val="Caption"/>
        <w:keepNext/>
        <w:jc w:val="center"/>
      </w:pPr>
      <w:r>
        <w:t xml:space="preserve">Table </w:t>
      </w:r>
      <w:fldSimple w:instr=" SEQ Table \* ARABIC ">
        <w:r w:rsidR="002C6E3A">
          <w:rPr>
            <w:noProof/>
          </w:rPr>
          <w:t>2</w:t>
        </w:r>
      </w:fldSimple>
      <w:r>
        <w:t xml:space="preserve">: </w:t>
      </w:r>
      <w:r w:rsidR="002C6E3A">
        <w:t>list of two intra-band transmit cases for Release 16</w:t>
      </w:r>
    </w:p>
    <w:tbl>
      <w:tblPr>
        <w:tblW w:w="9735" w:type="dxa"/>
        <w:tblInd w:w="93" w:type="dxa"/>
        <w:tblLayout w:type="fixed"/>
        <w:tblLook w:val="04A0" w:firstRow="1" w:lastRow="0" w:firstColumn="1" w:lastColumn="0" w:noHBand="0" w:noVBand="1"/>
      </w:tblPr>
      <w:tblGrid>
        <w:gridCol w:w="1545"/>
        <w:gridCol w:w="1800"/>
        <w:gridCol w:w="2070"/>
        <w:gridCol w:w="2250"/>
        <w:gridCol w:w="2070"/>
      </w:tblGrid>
      <w:tr w:rsidR="004445EB" w:rsidRPr="002C6E3A" w14:paraId="3C51DDE5" w14:textId="77777777" w:rsidTr="00663B49">
        <w:trPr>
          <w:trHeight w:val="288"/>
        </w:trPr>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21E91" w14:textId="14DB9935" w:rsidR="004445EB" w:rsidRPr="002C6E3A" w:rsidRDefault="004445EB" w:rsidP="002C6E3A">
            <w:pPr>
              <w:overflowPunct/>
              <w:autoSpaceDE/>
              <w:autoSpaceDN/>
              <w:adjustRightInd/>
              <w:spacing w:after="0"/>
              <w:jc w:val="center"/>
              <w:textAlignment w:val="auto"/>
              <w:rPr>
                <w:rFonts w:ascii="Calibri" w:hAnsi="Calibri"/>
                <w:color w:val="000000"/>
                <w:sz w:val="22"/>
                <w:szCs w:val="22"/>
              </w:rPr>
            </w:pPr>
            <w:r>
              <w:rPr>
                <w:rFonts w:ascii="Calibri" w:hAnsi="Calibri"/>
                <w:color w:val="000000"/>
                <w:sz w:val="22"/>
                <w:szCs w:val="22"/>
              </w:rPr>
              <w:t>Driving Feature</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421B751F" w14:textId="2AD91BAA" w:rsidR="004445EB" w:rsidRPr="002C6E3A" w:rsidRDefault="004445EB" w:rsidP="002C6E3A">
            <w:pPr>
              <w:overflowPunct/>
              <w:autoSpaceDE/>
              <w:autoSpaceDN/>
              <w:adjustRightInd/>
              <w:spacing w:after="0"/>
              <w:jc w:val="center"/>
              <w:textAlignment w:val="auto"/>
              <w:rPr>
                <w:rFonts w:ascii="Calibri" w:hAnsi="Calibri"/>
                <w:color w:val="000000"/>
                <w:sz w:val="22"/>
                <w:szCs w:val="22"/>
              </w:rPr>
            </w:pPr>
            <w:r>
              <w:rPr>
                <w:rFonts w:ascii="Calibri" w:hAnsi="Calibri"/>
                <w:color w:val="000000"/>
                <w:sz w:val="22"/>
                <w:szCs w:val="22"/>
              </w:rPr>
              <w:t>Implementation</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3268F4F0" w14:textId="3A4B7ED1" w:rsidR="004445EB" w:rsidRPr="002C6E3A" w:rsidRDefault="004445EB" w:rsidP="002C6E3A">
            <w:pPr>
              <w:overflowPunct/>
              <w:autoSpaceDE/>
              <w:autoSpaceDN/>
              <w:adjustRightInd/>
              <w:spacing w:after="0"/>
              <w:jc w:val="center"/>
              <w:textAlignment w:val="auto"/>
              <w:rPr>
                <w:rFonts w:ascii="Calibri" w:hAnsi="Calibri"/>
                <w:color w:val="000000"/>
                <w:sz w:val="22"/>
                <w:szCs w:val="22"/>
              </w:rPr>
            </w:pPr>
            <w:r>
              <w:rPr>
                <w:rFonts w:ascii="Calibri" w:hAnsi="Calibri"/>
                <w:color w:val="000000"/>
                <w:sz w:val="22"/>
                <w:szCs w:val="22"/>
              </w:rPr>
              <w:t>Mode Potentially affected</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14:paraId="7F896A62" w14:textId="09A1F7E0" w:rsidR="004445EB" w:rsidRPr="002C6E3A" w:rsidRDefault="004445EB" w:rsidP="002C6E3A">
            <w:pPr>
              <w:overflowPunct/>
              <w:autoSpaceDE/>
              <w:autoSpaceDN/>
              <w:adjustRightInd/>
              <w:spacing w:after="0"/>
              <w:jc w:val="center"/>
              <w:textAlignment w:val="auto"/>
              <w:rPr>
                <w:rFonts w:ascii="Calibri" w:hAnsi="Calibri"/>
                <w:color w:val="000000"/>
                <w:sz w:val="22"/>
                <w:szCs w:val="22"/>
              </w:rPr>
            </w:pPr>
            <w:r>
              <w:rPr>
                <w:rFonts w:ascii="Calibri" w:hAnsi="Calibri"/>
                <w:color w:val="000000"/>
                <w:sz w:val="22"/>
                <w:szCs w:val="22"/>
              </w:rPr>
              <w:t>Requirement status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55C33194" w14:textId="4332FB8B" w:rsidR="004445EB" w:rsidRPr="002C6E3A" w:rsidRDefault="004445EB" w:rsidP="002C6E3A">
            <w:pPr>
              <w:overflowPunct/>
              <w:autoSpaceDE/>
              <w:autoSpaceDN/>
              <w:adjustRightInd/>
              <w:spacing w:after="0"/>
              <w:jc w:val="center"/>
              <w:textAlignment w:val="auto"/>
              <w:rPr>
                <w:rFonts w:ascii="Calibri" w:hAnsi="Calibri"/>
                <w:color w:val="000000"/>
                <w:sz w:val="22"/>
                <w:szCs w:val="22"/>
              </w:rPr>
            </w:pPr>
            <w:r>
              <w:rPr>
                <w:rFonts w:ascii="Calibri" w:hAnsi="Calibri"/>
                <w:color w:val="000000"/>
                <w:sz w:val="22"/>
                <w:szCs w:val="22"/>
              </w:rPr>
              <w:t>Signaling</w:t>
            </w:r>
          </w:p>
        </w:tc>
      </w:tr>
      <w:tr w:rsidR="00663B49" w:rsidRPr="002C6E3A" w14:paraId="2322CE89" w14:textId="77777777" w:rsidTr="00663B49">
        <w:trPr>
          <w:trHeight w:val="444"/>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2BBA7FF2"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PC2 UL MIMO</w:t>
            </w:r>
          </w:p>
        </w:tc>
        <w:tc>
          <w:tcPr>
            <w:tcW w:w="1800" w:type="dxa"/>
            <w:tcBorders>
              <w:top w:val="nil"/>
              <w:left w:val="nil"/>
              <w:bottom w:val="single" w:sz="4" w:space="0" w:color="auto"/>
              <w:right w:val="single" w:sz="4" w:space="0" w:color="auto"/>
            </w:tcBorders>
            <w:shd w:val="clear" w:color="auto" w:fill="auto"/>
            <w:vAlign w:val="center"/>
            <w:hideMark/>
          </w:tcPr>
          <w:p w14:paraId="2CCB3404"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2x23dBm PA</w:t>
            </w:r>
          </w:p>
        </w:tc>
        <w:tc>
          <w:tcPr>
            <w:tcW w:w="2070" w:type="dxa"/>
            <w:tcBorders>
              <w:top w:val="nil"/>
              <w:left w:val="nil"/>
              <w:bottom w:val="single" w:sz="4" w:space="0" w:color="auto"/>
              <w:right w:val="single" w:sz="4" w:space="0" w:color="auto"/>
            </w:tcBorders>
            <w:shd w:val="clear" w:color="auto" w:fill="auto"/>
            <w:vAlign w:val="center"/>
            <w:hideMark/>
          </w:tcPr>
          <w:p w14:paraId="0A9753C6"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one layer operation using TX Diversity</w:t>
            </w:r>
          </w:p>
        </w:tc>
        <w:tc>
          <w:tcPr>
            <w:tcW w:w="2250" w:type="dxa"/>
            <w:tcBorders>
              <w:top w:val="nil"/>
              <w:left w:val="nil"/>
              <w:bottom w:val="single" w:sz="4" w:space="0" w:color="auto"/>
              <w:right w:val="single" w:sz="4" w:space="0" w:color="auto"/>
            </w:tcBorders>
            <w:shd w:val="clear" w:color="auto" w:fill="auto"/>
            <w:vAlign w:val="center"/>
            <w:hideMark/>
          </w:tcPr>
          <w:p w14:paraId="6A758FFE"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MPR in UL MIMO and one layer mode TBD</w:t>
            </w:r>
          </w:p>
        </w:tc>
        <w:tc>
          <w:tcPr>
            <w:tcW w:w="2070" w:type="dxa"/>
            <w:tcBorders>
              <w:top w:val="nil"/>
              <w:left w:val="nil"/>
              <w:bottom w:val="single" w:sz="4" w:space="0" w:color="auto"/>
              <w:right w:val="single" w:sz="4" w:space="0" w:color="auto"/>
            </w:tcBorders>
            <w:shd w:val="clear" w:color="auto" w:fill="auto"/>
            <w:vAlign w:val="center"/>
            <w:hideMark/>
          </w:tcPr>
          <w:p w14:paraId="3B2204E6"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2TX signaling for single port mode?</w:t>
            </w:r>
          </w:p>
        </w:tc>
      </w:tr>
      <w:tr w:rsidR="00663B49" w:rsidRPr="002C6E3A" w14:paraId="0BF6F1F5" w14:textId="77777777" w:rsidTr="00663B49">
        <w:trPr>
          <w:trHeight w:val="288"/>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095A3597"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PC2 UL MIMO</w:t>
            </w:r>
          </w:p>
        </w:tc>
        <w:tc>
          <w:tcPr>
            <w:tcW w:w="1800" w:type="dxa"/>
            <w:tcBorders>
              <w:top w:val="nil"/>
              <w:left w:val="nil"/>
              <w:bottom w:val="single" w:sz="4" w:space="0" w:color="auto"/>
              <w:right w:val="single" w:sz="4" w:space="0" w:color="auto"/>
            </w:tcBorders>
            <w:shd w:val="clear" w:color="auto" w:fill="auto"/>
            <w:vAlign w:val="center"/>
            <w:hideMark/>
          </w:tcPr>
          <w:p w14:paraId="64C690D5"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2x26dBm PA</w:t>
            </w:r>
          </w:p>
        </w:tc>
        <w:tc>
          <w:tcPr>
            <w:tcW w:w="2070" w:type="dxa"/>
            <w:tcBorders>
              <w:top w:val="nil"/>
              <w:left w:val="nil"/>
              <w:bottom w:val="single" w:sz="4" w:space="0" w:color="auto"/>
              <w:right w:val="single" w:sz="4" w:space="0" w:color="auto"/>
            </w:tcBorders>
            <w:shd w:val="clear" w:color="auto" w:fill="auto"/>
            <w:vAlign w:val="center"/>
            <w:hideMark/>
          </w:tcPr>
          <w:p w14:paraId="30AF3750"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none</w:t>
            </w:r>
          </w:p>
        </w:tc>
        <w:tc>
          <w:tcPr>
            <w:tcW w:w="2250" w:type="dxa"/>
            <w:tcBorders>
              <w:top w:val="nil"/>
              <w:left w:val="nil"/>
              <w:bottom w:val="single" w:sz="4" w:space="0" w:color="auto"/>
              <w:right w:val="single" w:sz="4" w:space="0" w:color="auto"/>
            </w:tcBorders>
            <w:shd w:val="clear" w:color="auto" w:fill="auto"/>
            <w:vAlign w:val="center"/>
            <w:hideMark/>
          </w:tcPr>
          <w:p w14:paraId="4CE9BC2C"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One layer PC2 MPR can apply to all modes</w:t>
            </w:r>
          </w:p>
        </w:tc>
        <w:tc>
          <w:tcPr>
            <w:tcW w:w="2070" w:type="dxa"/>
            <w:tcBorders>
              <w:top w:val="nil"/>
              <w:left w:val="nil"/>
              <w:bottom w:val="single" w:sz="4" w:space="0" w:color="auto"/>
              <w:right w:val="single" w:sz="4" w:space="0" w:color="auto"/>
            </w:tcBorders>
            <w:shd w:val="clear" w:color="auto" w:fill="auto"/>
            <w:vAlign w:val="center"/>
            <w:hideMark/>
          </w:tcPr>
          <w:p w14:paraId="3DE4C218"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SA Power class + UL MIMO</w:t>
            </w:r>
          </w:p>
        </w:tc>
      </w:tr>
      <w:tr w:rsidR="00663B49" w:rsidRPr="002C6E3A" w14:paraId="6F455D54" w14:textId="77777777" w:rsidTr="00663B49">
        <w:trPr>
          <w:trHeight w:val="288"/>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1BACF250"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PC2 UL MIMO</w:t>
            </w:r>
          </w:p>
        </w:tc>
        <w:tc>
          <w:tcPr>
            <w:tcW w:w="1800" w:type="dxa"/>
            <w:tcBorders>
              <w:top w:val="nil"/>
              <w:left w:val="nil"/>
              <w:bottom w:val="single" w:sz="4" w:space="0" w:color="auto"/>
              <w:right w:val="single" w:sz="4" w:space="0" w:color="auto"/>
            </w:tcBorders>
            <w:shd w:val="clear" w:color="auto" w:fill="auto"/>
            <w:vAlign w:val="center"/>
            <w:hideMark/>
          </w:tcPr>
          <w:p w14:paraId="54D8A447"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26dBm PA + 23dBm PA</w:t>
            </w:r>
          </w:p>
        </w:tc>
        <w:tc>
          <w:tcPr>
            <w:tcW w:w="2070" w:type="dxa"/>
            <w:tcBorders>
              <w:top w:val="nil"/>
              <w:left w:val="nil"/>
              <w:bottom w:val="single" w:sz="4" w:space="0" w:color="auto"/>
              <w:right w:val="single" w:sz="4" w:space="0" w:color="auto"/>
            </w:tcBorders>
            <w:shd w:val="clear" w:color="auto" w:fill="auto"/>
            <w:vAlign w:val="center"/>
            <w:hideMark/>
          </w:tcPr>
          <w:p w14:paraId="162320FF"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none</w:t>
            </w:r>
          </w:p>
        </w:tc>
        <w:tc>
          <w:tcPr>
            <w:tcW w:w="2250" w:type="dxa"/>
            <w:tcBorders>
              <w:top w:val="nil"/>
              <w:left w:val="nil"/>
              <w:bottom w:val="single" w:sz="4" w:space="0" w:color="auto"/>
              <w:right w:val="single" w:sz="4" w:space="0" w:color="auto"/>
            </w:tcBorders>
            <w:shd w:val="clear" w:color="auto" w:fill="auto"/>
            <w:vAlign w:val="center"/>
            <w:hideMark/>
          </w:tcPr>
          <w:p w14:paraId="5CB58B03"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MPR in UL MIMO mode TBD</w:t>
            </w:r>
          </w:p>
        </w:tc>
        <w:tc>
          <w:tcPr>
            <w:tcW w:w="2070" w:type="dxa"/>
            <w:tcBorders>
              <w:top w:val="nil"/>
              <w:left w:val="nil"/>
              <w:bottom w:val="single" w:sz="4" w:space="0" w:color="auto"/>
              <w:right w:val="single" w:sz="4" w:space="0" w:color="auto"/>
            </w:tcBorders>
            <w:shd w:val="clear" w:color="auto" w:fill="auto"/>
            <w:vAlign w:val="center"/>
            <w:hideMark/>
          </w:tcPr>
          <w:p w14:paraId="3BA2CAA8"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SA Power class + UL MIMO</w:t>
            </w:r>
          </w:p>
        </w:tc>
      </w:tr>
      <w:tr w:rsidR="00663B49" w:rsidRPr="002C6E3A" w14:paraId="142EDE3D" w14:textId="77777777" w:rsidTr="00663B49">
        <w:trPr>
          <w:trHeight w:val="288"/>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531A5899"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TDD PC3 intra band ENDC</w:t>
            </w:r>
          </w:p>
        </w:tc>
        <w:tc>
          <w:tcPr>
            <w:tcW w:w="1800" w:type="dxa"/>
            <w:tcBorders>
              <w:top w:val="nil"/>
              <w:left w:val="nil"/>
              <w:bottom w:val="single" w:sz="4" w:space="0" w:color="auto"/>
              <w:right w:val="single" w:sz="4" w:space="0" w:color="auto"/>
            </w:tcBorders>
            <w:shd w:val="clear" w:color="auto" w:fill="auto"/>
            <w:vAlign w:val="center"/>
            <w:hideMark/>
          </w:tcPr>
          <w:p w14:paraId="34C5D3CD"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2x23dBm PA</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14:paraId="245B40BB"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UL MIMO support in ENDC mode</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5BCF16EE"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No UL MIMO in ENDC mode</w:t>
            </w:r>
            <w:r w:rsidRPr="002C6E3A">
              <w:rPr>
                <w:rFonts w:ascii="Calibri" w:hAnsi="Calibri"/>
                <w:color w:val="000000"/>
                <w:sz w:val="22"/>
                <w:szCs w:val="22"/>
              </w:rPr>
              <w:br/>
              <w:t>MPR and AMPR cover all cases</w:t>
            </w:r>
          </w:p>
        </w:tc>
        <w:tc>
          <w:tcPr>
            <w:tcW w:w="2070" w:type="dxa"/>
            <w:vMerge w:val="restart"/>
            <w:tcBorders>
              <w:top w:val="nil"/>
              <w:left w:val="single" w:sz="4" w:space="0" w:color="auto"/>
              <w:bottom w:val="single" w:sz="4" w:space="0" w:color="000000"/>
              <w:right w:val="single" w:sz="4" w:space="0" w:color="auto"/>
            </w:tcBorders>
            <w:shd w:val="clear" w:color="auto" w:fill="auto"/>
            <w:vAlign w:val="center"/>
            <w:hideMark/>
          </w:tcPr>
          <w:p w14:paraId="32AF8FDD"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2TX + LTE/NR/ENDC power class + modified MPR bit</w:t>
            </w:r>
          </w:p>
        </w:tc>
      </w:tr>
      <w:tr w:rsidR="00663B49" w:rsidRPr="002C6E3A" w14:paraId="3923C3C0" w14:textId="77777777" w:rsidTr="00663B49">
        <w:trPr>
          <w:trHeight w:val="288"/>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6510928A"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TDD PC2 intra band ENDC</w:t>
            </w:r>
          </w:p>
        </w:tc>
        <w:tc>
          <w:tcPr>
            <w:tcW w:w="1800" w:type="dxa"/>
            <w:tcBorders>
              <w:top w:val="nil"/>
              <w:left w:val="nil"/>
              <w:bottom w:val="single" w:sz="4" w:space="0" w:color="auto"/>
              <w:right w:val="single" w:sz="4" w:space="0" w:color="auto"/>
            </w:tcBorders>
            <w:shd w:val="clear" w:color="auto" w:fill="auto"/>
            <w:vAlign w:val="center"/>
            <w:hideMark/>
          </w:tcPr>
          <w:p w14:paraId="47D2A3CE"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2x23dBm PA</w:t>
            </w:r>
          </w:p>
        </w:tc>
        <w:tc>
          <w:tcPr>
            <w:tcW w:w="2070" w:type="dxa"/>
            <w:vMerge/>
            <w:tcBorders>
              <w:top w:val="nil"/>
              <w:left w:val="single" w:sz="4" w:space="0" w:color="auto"/>
              <w:bottom w:val="single" w:sz="4" w:space="0" w:color="auto"/>
              <w:right w:val="single" w:sz="4" w:space="0" w:color="auto"/>
            </w:tcBorders>
            <w:vAlign w:val="center"/>
            <w:hideMark/>
          </w:tcPr>
          <w:p w14:paraId="76E2F059" w14:textId="77777777" w:rsidR="002C6E3A" w:rsidRPr="002C6E3A" w:rsidRDefault="002C6E3A" w:rsidP="002C6E3A">
            <w:pPr>
              <w:overflowPunct/>
              <w:autoSpaceDE/>
              <w:autoSpaceDN/>
              <w:adjustRightInd/>
              <w:spacing w:after="0"/>
              <w:textAlignment w:val="auto"/>
              <w:rPr>
                <w:rFonts w:ascii="Calibri" w:hAnsi="Calibri"/>
                <w:color w:val="000000"/>
                <w:sz w:val="22"/>
                <w:szCs w:val="22"/>
              </w:rPr>
            </w:pPr>
          </w:p>
        </w:tc>
        <w:tc>
          <w:tcPr>
            <w:tcW w:w="2250" w:type="dxa"/>
            <w:vMerge/>
            <w:tcBorders>
              <w:top w:val="nil"/>
              <w:left w:val="single" w:sz="4" w:space="0" w:color="auto"/>
              <w:bottom w:val="single" w:sz="4" w:space="0" w:color="auto"/>
              <w:right w:val="single" w:sz="4" w:space="0" w:color="auto"/>
            </w:tcBorders>
            <w:vAlign w:val="center"/>
            <w:hideMark/>
          </w:tcPr>
          <w:p w14:paraId="7B2B705A" w14:textId="77777777" w:rsidR="002C6E3A" w:rsidRPr="002C6E3A" w:rsidRDefault="002C6E3A" w:rsidP="002C6E3A">
            <w:pPr>
              <w:overflowPunct/>
              <w:autoSpaceDE/>
              <w:autoSpaceDN/>
              <w:adjustRightInd/>
              <w:spacing w:after="0"/>
              <w:textAlignment w:val="auto"/>
              <w:rPr>
                <w:rFonts w:ascii="Calibri" w:hAnsi="Calibri"/>
                <w:color w:val="000000"/>
                <w:sz w:val="22"/>
                <w:szCs w:val="22"/>
              </w:rPr>
            </w:pPr>
          </w:p>
        </w:tc>
        <w:tc>
          <w:tcPr>
            <w:tcW w:w="2070" w:type="dxa"/>
            <w:vMerge/>
            <w:tcBorders>
              <w:top w:val="nil"/>
              <w:left w:val="single" w:sz="4" w:space="0" w:color="auto"/>
              <w:bottom w:val="single" w:sz="4" w:space="0" w:color="000000"/>
              <w:right w:val="single" w:sz="4" w:space="0" w:color="auto"/>
            </w:tcBorders>
            <w:vAlign w:val="center"/>
            <w:hideMark/>
          </w:tcPr>
          <w:p w14:paraId="4C822DCC" w14:textId="77777777" w:rsidR="002C6E3A" w:rsidRPr="002C6E3A" w:rsidRDefault="002C6E3A" w:rsidP="002C6E3A">
            <w:pPr>
              <w:overflowPunct/>
              <w:autoSpaceDE/>
              <w:autoSpaceDN/>
              <w:adjustRightInd/>
              <w:spacing w:after="0"/>
              <w:textAlignment w:val="auto"/>
              <w:rPr>
                <w:rFonts w:ascii="Calibri" w:hAnsi="Calibri"/>
                <w:color w:val="000000"/>
                <w:sz w:val="22"/>
                <w:szCs w:val="22"/>
              </w:rPr>
            </w:pPr>
          </w:p>
        </w:tc>
      </w:tr>
      <w:tr w:rsidR="00663B49" w:rsidRPr="002C6E3A" w14:paraId="1549B182" w14:textId="77777777" w:rsidTr="00663B49">
        <w:trPr>
          <w:trHeight w:val="288"/>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2C197205"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TDD PC2 intra band ENDC</w:t>
            </w:r>
          </w:p>
        </w:tc>
        <w:tc>
          <w:tcPr>
            <w:tcW w:w="1800" w:type="dxa"/>
            <w:tcBorders>
              <w:top w:val="nil"/>
              <w:left w:val="nil"/>
              <w:bottom w:val="single" w:sz="4" w:space="0" w:color="auto"/>
              <w:right w:val="single" w:sz="4" w:space="0" w:color="auto"/>
            </w:tcBorders>
            <w:shd w:val="clear" w:color="auto" w:fill="auto"/>
            <w:vAlign w:val="center"/>
            <w:hideMark/>
          </w:tcPr>
          <w:p w14:paraId="6737F86A"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2x26dBm PA</w:t>
            </w:r>
          </w:p>
        </w:tc>
        <w:tc>
          <w:tcPr>
            <w:tcW w:w="2070" w:type="dxa"/>
            <w:vMerge/>
            <w:tcBorders>
              <w:top w:val="nil"/>
              <w:left w:val="single" w:sz="4" w:space="0" w:color="auto"/>
              <w:bottom w:val="single" w:sz="4" w:space="0" w:color="auto"/>
              <w:right w:val="single" w:sz="4" w:space="0" w:color="auto"/>
            </w:tcBorders>
            <w:vAlign w:val="center"/>
            <w:hideMark/>
          </w:tcPr>
          <w:p w14:paraId="6941E91A" w14:textId="77777777" w:rsidR="002C6E3A" w:rsidRPr="002C6E3A" w:rsidRDefault="002C6E3A" w:rsidP="002C6E3A">
            <w:pPr>
              <w:overflowPunct/>
              <w:autoSpaceDE/>
              <w:autoSpaceDN/>
              <w:adjustRightInd/>
              <w:spacing w:after="0"/>
              <w:textAlignment w:val="auto"/>
              <w:rPr>
                <w:rFonts w:ascii="Calibri" w:hAnsi="Calibri"/>
                <w:color w:val="000000"/>
                <w:sz w:val="22"/>
                <w:szCs w:val="22"/>
              </w:rPr>
            </w:pPr>
          </w:p>
        </w:tc>
        <w:tc>
          <w:tcPr>
            <w:tcW w:w="2250" w:type="dxa"/>
            <w:vMerge/>
            <w:tcBorders>
              <w:top w:val="nil"/>
              <w:left w:val="single" w:sz="4" w:space="0" w:color="auto"/>
              <w:bottom w:val="single" w:sz="4" w:space="0" w:color="auto"/>
              <w:right w:val="single" w:sz="4" w:space="0" w:color="auto"/>
            </w:tcBorders>
            <w:vAlign w:val="center"/>
            <w:hideMark/>
          </w:tcPr>
          <w:p w14:paraId="2098682F" w14:textId="77777777" w:rsidR="002C6E3A" w:rsidRPr="002C6E3A" w:rsidRDefault="002C6E3A" w:rsidP="002C6E3A">
            <w:pPr>
              <w:overflowPunct/>
              <w:autoSpaceDE/>
              <w:autoSpaceDN/>
              <w:adjustRightInd/>
              <w:spacing w:after="0"/>
              <w:textAlignment w:val="auto"/>
              <w:rPr>
                <w:rFonts w:ascii="Calibri" w:hAnsi="Calibri"/>
                <w:color w:val="000000"/>
                <w:sz w:val="22"/>
                <w:szCs w:val="22"/>
              </w:rPr>
            </w:pPr>
          </w:p>
        </w:tc>
        <w:tc>
          <w:tcPr>
            <w:tcW w:w="2070" w:type="dxa"/>
            <w:vMerge/>
            <w:tcBorders>
              <w:top w:val="nil"/>
              <w:left w:val="single" w:sz="4" w:space="0" w:color="auto"/>
              <w:bottom w:val="single" w:sz="4" w:space="0" w:color="000000"/>
              <w:right w:val="single" w:sz="4" w:space="0" w:color="auto"/>
            </w:tcBorders>
            <w:vAlign w:val="center"/>
            <w:hideMark/>
          </w:tcPr>
          <w:p w14:paraId="11E18F78" w14:textId="77777777" w:rsidR="002C6E3A" w:rsidRPr="002C6E3A" w:rsidRDefault="002C6E3A" w:rsidP="002C6E3A">
            <w:pPr>
              <w:overflowPunct/>
              <w:autoSpaceDE/>
              <w:autoSpaceDN/>
              <w:adjustRightInd/>
              <w:spacing w:after="0"/>
              <w:textAlignment w:val="auto"/>
              <w:rPr>
                <w:rFonts w:ascii="Calibri" w:hAnsi="Calibri"/>
                <w:color w:val="000000"/>
                <w:sz w:val="22"/>
                <w:szCs w:val="22"/>
              </w:rPr>
            </w:pPr>
          </w:p>
        </w:tc>
      </w:tr>
      <w:tr w:rsidR="00663B49" w:rsidRPr="002C6E3A" w14:paraId="064BEFC2" w14:textId="77777777" w:rsidTr="00663B49">
        <w:trPr>
          <w:trHeight w:val="288"/>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472B8392"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TDD 29dBm intra band ENDC</w:t>
            </w:r>
          </w:p>
        </w:tc>
        <w:tc>
          <w:tcPr>
            <w:tcW w:w="1800" w:type="dxa"/>
            <w:tcBorders>
              <w:top w:val="nil"/>
              <w:left w:val="nil"/>
              <w:bottom w:val="single" w:sz="4" w:space="0" w:color="auto"/>
              <w:right w:val="single" w:sz="4" w:space="0" w:color="auto"/>
            </w:tcBorders>
            <w:shd w:val="clear" w:color="auto" w:fill="auto"/>
            <w:vAlign w:val="center"/>
            <w:hideMark/>
          </w:tcPr>
          <w:p w14:paraId="6B634C7B"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2x26dBm PA</w:t>
            </w:r>
          </w:p>
        </w:tc>
        <w:tc>
          <w:tcPr>
            <w:tcW w:w="2070" w:type="dxa"/>
            <w:vMerge/>
            <w:tcBorders>
              <w:top w:val="nil"/>
              <w:left w:val="single" w:sz="4" w:space="0" w:color="auto"/>
              <w:bottom w:val="single" w:sz="4" w:space="0" w:color="auto"/>
              <w:right w:val="single" w:sz="4" w:space="0" w:color="auto"/>
            </w:tcBorders>
            <w:vAlign w:val="center"/>
            <w:hideMark/>
          </w:tcPr>
          <w:p w14:paraId="5B79FFB8" w14:textId="77777777" w:rsidR="002C6E3A" w:rsidRPr="002C6E3A" w:rsidRDefault="002C6E3A" w:rsidP="002C6E3A">
            <w:pPr>
              <w:overflowPunct/>
              <w:autoSpaceDE/>
              <w:autoSpaceDN/>
              <w:adjustRightInd/>
              <w:spacing w:after="0"/>
              <w:textAlignment w:val="auto"/>
              <w:rPr>
                <w:rFonts w:ascii="Calibri" w:hAnsi="Calibri"/>
                <w:color w:val="000000"/>
                <w:sz w:val="22"/>
                <w:szCs w:val="22"/>
              </w:rPr>
            </w:pPr>
          </w:p>
        </w:tc>
        <w:tc>
          <w:tcPr>
            <w:tcW w:w="2250" w:type="dxa"/>
            <w:vMerge/>
            <w:tcBorders>
              <w:top w:val="nil"/>
              <w:left w:val="single" w:sz="4" w:space="0" w:color="auto"/>
              <w:bottom w:val="single" w:sz="4" w:space="0" w:color="auto"/>
              <w:right w:val="single" w:sz="4" w:space="0" w:color="auto"/>
            </w:tcBorders>
            <w:vAlign w:val="center"/>
            <w:hideMark/>
          </w:tcPr>
          <w:p w14:paraId="72542B8E" w14:textId="77777777" w:rsidR="002C6E3A" w:rsidRPr="002C6E3A" w:rsidRDefault="002C6E3A" w:rsidP="002C6E3A">
            <w:pPr>
              <w:overflowPunct/>
              <w:autoSpaceDE/>
              <w:autoSpaceDN/>
              <w:adjustRightInd/>
              <w:spacing w:after="0"/>
              <w:textAlignment w:val="auto"/>
              <w:rPr>
                <w:rFonts w:ascii="Calibri" w:hAnsi="Calibri"/>
                <w:color w:val="000000"/>
                <w:sz w:val="22"/>
                <w:szCs w:val="22"/>
              </w:rPr>
            </w:pPr>
          </w:p>
        </w:tc>
        <w:tc>
          <w:tcPr>
            <w:tcW w:w="2070" w:type="dxa"/>
            <w:vMerge/>
            <w:tcBorders>
              <w:top w:val="nil"/>
              <w:left w:val="single" w:sz="4" w:space="0" w:color="auto"/>
              <w:bottom w:val="single" w:sz="4" w:space="0" w:color="000000"/>
              <w:right w:val="single" w:sz="4" w:space="0" w:color="auto"/>
            </w:tcBorders>
            <w:vAlign w:val="center"/>
            <w:hideMark/>
          </w:tcPr>
          <w:p w14:paraId="2217CE24" w14:textId="77777777" w:rsidR="002C6E3A" w:rsidRPr="002C6E3A" w:rsidRDefault="002C6E3A" w:rsidP="002C6E3A">
            <w:pPr>
              <w:overflowPunct/>
              <w:autoSpaceDE/>
              <w:autoSpaceDN/>
              <w:adjustRightInd/>
              <w:spacing w:after="0"/>
              <w:textAlignment w:val="auto"/>
              <w:rPr>
                <w:rFonts w:ascii="Calibri" w:hAnsi="Calibri"/>
                <w:color w:val="000000"/>
                <w:sz w:val="22"/>
                <w:szCs w:val="22"/>
              </w:rPr>
            </w:pPr>
          </w:p>
        </w:tc>
      </w:tr>
      <w:tr w:rsidR="00663B49" w:rsidRPr="002C6E3A" w14:paraId="4422B696" w14:textId="77777777" w:rsidTr="00663B49">
        <w:trPr>
          <w:trHeight w:val="576"/>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2A398D31"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intra band ENDC</w:t>
            </w:r>
          </w:p>
        </w:tc>
        <w:tc>
          <w:tcPr>
            <w:tcW w:w="1800" w:type="dxa"/>
            <w:tcBorders>
              <w:top w:val="nil"/>
              <w:left w:val="nil"/>
              <w:bottom w:val="single" w:sz="4" w:space="0" w:color="auto"/>
              <w:right w:val="single" w:sz="4" w:space="0" w:color="auto"/>
            </w:tcBorders>
            <w:shd w:val="clear" w:color="auto" w:fill="auto"/>
            <w:vAlign w:val="center"/>
            <w:hideMark/>
          </w:tcPr>
          <w:p w14:paraId="7CEA4E9D"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1 PA case</w:t>
            </w:r>
          </w:p>
        </w:tc>
        <w:tc>
          <w:tcPr>
            <w:tcW w:w="2070" w:type="dxa"/>
            <w:tcBorders>
              <w:top w:val="nil"/>
              <w:left w:val="nil"/>
              <w:bottom w:val="single" w:sz="4" w:space="0" w:color="auto"/>
              <w:right w:val="single" w:sz="4" w:space="0" w:color="auto"/>
            </w:tcBorders>
            <w:shd w:val="clear" w:color="auto" w:fill="auto"/>
            <w:vAlign w:val="center"/>
            <w:hideMark/>
          </w:tcPr>
          <w:p w14:paraId="43D6D79E"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ENDC mode not evaluated, SUO may apply in some cases</w:t>
            </w:r>
          </w:p>
        </w:tc>
        <w:tc>
          <w:tcPr>
            <w:tcW w:w="2250" w:type="dxa"/>
            <w:tcBorders>
              <w:top w:val="nil"/>
              <w:left w:val="nil"/>
              <w:bottom w:val="single" w:sz="4" w:space="0" w:color="auto"/>
              <w:right w:val="single" w:sz="4" w:space="0" w:color="auto"/>
            </w:tcBorders>
            <w:shd w:val="clear" w:color="auto" w:fill="auto"/>
            <w:vAlign w:val="center"/>
            <w:hideMark/>
          </w:tcPr>
          <w:p w14:paraId="241AA889"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proofErr w:type="gramStart"/>
            <w:r w:rsidRPr="002C6E3A">
              <w:rPr>
                <w:rFonts w:ascii="Calibri" w:hAnsi="Calibri"/>
                <w:color w:val="000000"/>
                <w:sz w:val="22"/>
                <w:szCs w:val="22"/>
              </w:rPr>
              <w:t>reuse</w:t>
            </w:r>
            <w:proofErr w:type="gramEnd"/>
            <w:r w:rsidRPr="002C6E3A">
              <w:rPr>
                <w:rFonts w:ascii="Calibri" w:hAnsi="Calibri"/>
                <w:color w:val="000000"/>
                <w:sz w:val="22"/>
                <w:szCs w:val="22"/>
              </w:rPr>
              <w:t xml:space="preserve"> of NR UL CA at least for contiguous case?</w:t>
            </w:r>
          </w:p>
        </w:tc>
        <w:tc>
          <w:tcPr>
            <w:tcW w:w="2070" w:type="dxa"/>
            <w:tcBorders>
              <w:top w:val="nil"/>
              <w:left w:val="nil"/>
              <w:bottom w:val="single" w:sz="4" w:space="0" w:color="auto"/>
              <w:right w:val="single" w:sz="4" w:space="0" w:color="auto"/>
            </w:tcBorders>
            <w:shd w:val="clear" w:color="auto" w:fill="auto"/>
            <w:vAlign w:val="center"/>
            <w:hideMark/>
          </w:tcPr>
          <w:p w14:paraId="2DC044F8"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SUO(1TX) in some cases</w:t>
            </w:r>
          </w:p>
        </w:tc>
      </w:tr>
      <w:tr w:rsidR="00663B49" w:rsidRPr="002C6E3A" w14:paraId="22CFA83E" w14:textId="77777777" w:rsidTr="00663B49">
        <w:trPr>
          <w:trHeight w:val="864"/>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02C35FD4"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PC3 intra band contiguous NR UL CA</w:t>
            </w:r>
          </w:p>
        </w:tc>
        <w:tc>
          <w:tcPr>
            <w:tcW w:w="1800" w:type="dxa"/>
            <w:tcBorders>
              <w:top w:val="nil"/>
              <w:left w:val="nil"/>
              <w:bottom w:val="single" w:sz="4" w:space="0" w:color="auto"/>
              <w:right w:val="single" w:sz="4" w:space="0" w:color="auto"/>
            </w:tcBorders>
            <w:shd w:val="clear" w:color="auto" w:fill="auto"/>
            <w:vAlign w:val="center"/>
            <w:hideMark/>
          </w:tcPr>
          <w:p w14:paraId="1C3FF87F"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1x23dBm</w:t>
            </w:r>
            <w:r w:rsidRPr="002C6E3A">
              <w:rPr>
                <w:rFonts w:ascii="Calibri" w:hAnsi="Calibri"/>
                <w:color w:val="000000"/>
                <w:sz w:val="22"/>
                <w:szCs w:val="22"/>
              </w:rPr>
              <w:br/>
              <w:t>2x23dBm</w:t>
            </w:r>
          </w:p>
        </w:tc>
        <w:tc>
          <w:tcPr>
            <w:tcW w:w="2070" w:type="dxa"/>
            <w:tcBorders>
              <w:top w:val="nil"/>
              <w:left w:val="nil"/>
              <w:bottom w:val="single" w:sz="4" w:space="0" w:color="auto"/>
              <w:right w:val="single" w:sz="4" w:space="0" w:color="auto"/>
            </w:tcBorders>
            <w:shd w:val="clear" w:color="auto" w:fill="auto"/>
            <w:vAlign w:val="center"/>
            <w:hideMark/>
          </w:tcPr>
          <w:p w14:paraId="5D2CE79F" w14:textId="63784584" w:rsidR="002C6E3A" w:rsidRPr="002C6E3A" w:rsidRDefault="002C6E3A" w:rsidP="00BA0F6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2TX cases uses 1TX MPR (large margin)</w:t>
            </w:r>
            <w:r w:rsidRPr="002C6E3A">
              <w:rPr>
                <w:rFonts w:ascii="Calibri" w:hAnsi="Calibri"/>
                <w:color w:val="000000"/>
                <w:sz w:val="22"/>
                <w:szCs w:val="22"/>
              </w:rPr>
              <w:br/>
              <w:t>UL MIMO cannot be supported simultaneously</w:t>
            </w:r>
          </w:p>
        </w:tc>
        <w:tc>
          <w:tcPr>
            <w:tcW w:w="2250" w:type="dxa"/>
            <w:tcBorders>
              <w:top w:val="nil"/>
              <w:left w:val="nil"/>
              <w:bottom w:val="single" w:sz="4" w:space="0" w:color="auto"/>
              <w:right w:val="single" w:sz="4" w:space="0" w:color="auto"/>
            </w:tcBorders>
            <w:shd w:val="clear" w:color="auto" w:fill="auto"/>
            <w:vAlign w:val="center"/>
            <w:hideMark/>
          </w:tcPr>
          <w:p w14:paraId="1EBE942F"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MPR for 1TX case</w:t>
            </w:r>
          </w:p>
        </w:tc>
        <w:tc>
          <w:tcPr>
            <w:tcW w:w="2070" w:type="dxa"/>
            <w:tcBorders>
              <w:top w:val="nil"/>
              <w:left w:val="nil"/>
              <w:bottom w:val="single" w:sz="4" w:space="0" w:color="auto"/>
              <w:right w:val="single" w:sz="4" w:space="0" w:color="auto"/>
            </w:tcBorders>
            <w:shd w:val="clear" w:color="auto" w:fill="auto"/>
            <w:vAlign w:val="center"/>
            <w:hideMark/>
          </w:tcPr>
          <w:p w14:paraId="10478540"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2TX when applicable implies no MIMO</w:t>
            </w:r>
            <w:r w:rsidRPr="002C6E3A">
              <w:rPr>
                <w:rFonts w:ascii="Calibri" w:hAnsi="Calibri"/>
                <w:color w:val="000000"/>
                <w:sz w:val="22"/>
                <w:szCs w:val="22"/>
              </w:rPr>
              <w:br/>
              <w:t>4TX? For UL CA + UL MIMO?</w:t>
            </w:r>
          </w:p>
        </w:tc>
      </w:tr>
      <w:tr w:rsidR="00663B49" w:rsidRPr="002C6E3A" w14:paraId="2AD176F2" w14:textId="77777777" w:rsidTr="00663B49">
        <w:trPr>
          <w:trHeight w:val="1152"/>
        </w:trPr>
        <w:tc>
          <w:tcPr>
            <w:tcW w:w="1545" w:type="dxa"/>
            <w:tcBorders>
              <w:top w:val="nil"/>
              <w:left w:val="single" w:sz="4" w:space="0" w:color="auto"/>
              <w:bottom w:val="single" w:sz="4" w:space="0" w:color="auto"/>
              <w:right w:val="single" w:sz="4" w:space="0" w:color="auto"/>
            </w:tcBorders>
            <w:shd w:val="clear" w:color="auto" w:fill="auto"/>
            <w:vAlign w:val="center"/>
            <w:hideMark/>
          </w:tcPr>
          <w:p w14:paraId="13760AA6"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PC3 intra band contiguous NR UL CA</w:t>
            </w:r>
          </w:p>
        </w:tc>
        <w:tc>
          <w:tcPr>
            <w:tcW w:w="1800" w:type="dxa"/>
            <w:tcBorders>
              <w:top w:val="nil"/>
              <w:left w:val="nil"/>
              <w:bottom w:val="single" w:sz="4" w:space="0" w:color="auto"/>
              <w:right w:val="single" w:sz="4" w:space="0" w:color="auto"/>
            </w:tcBorders>
            <w:shd w:val="clear" w:color="auto" w:fill="auto"/>
            <w:vAlign w:val="center"/>
            <w:hideMark/>
          </w:tcPr>
          <w:p w14:paraId="328337A8"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1x23dBm</w:t>
            </w:r>
            <w:r w:rsidRPr="002C6E3A">
              <w:rPr>
                <w:rFonts w:ascii="Calibri" w:hAnsi="Calibri"/>
                <w:color w:val="000000"/>
                <w:sz w:val="22"/>
                <w:szCs w:val="22"/>
              </w:rPr>
              <w:br/>
              <w:t>2x23dBm</w:t>
            </w:r>
          </w:p>
        </w:tc>
        <w:tc>
          <w:tcPr>
            <w:tcW w:w="2070" w:type="dxa"/>
            <w:tcBorders>
              <w:top w:val="nil"/>
              <w:left w:val="nil"/>
              <w:bottom w:val="single" w:sz="4" w:space="0" w:color="auto"/>
              <w:right w:val="single" w:sz="4" w:space="0" w:color="auto"/>
            </w:tcBorders>
            <w:shd w:val="clear" w:color="auto" w:fill="auto"/>
            <w:vAlign w:val="center"/>
            <w:hideMark/>
          </w:tcPr>
          <w:p w14:paraId="6EFAE818"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UL MIMO cannot be supported simultaneously if 2TX</w:t>
            </w:r>
            <w:r w:rsidRPr="002C6E3A">
              <w:rPr>
                <w:rFonts w:ascii="Calibri" w:hAnsi="Calibri"/>
                <w:color w:val="000000"/>
                <w:sz w:val="22"/>
                <w:szCs w:val="22"/>
              </w:rPr>
              <w:br/>
              <w:t>1TX fallback option for some BW</w:t>
            </w:r>
          </w:p>
        </w:tc>
        <w:tc>
          <w:tcPr>
            <w:tcW w:w="2250" w:type="dxa"/>
            <w:tcBorders>
              <w:top w:val="nil"/>
              <w:left w:val="nil"/>
              <w:bottom w:val="single" w:sz="4" w:space="0" w:color="auto"/>
              <w:right w:val="single" w:sz="4" w:space="0" w:color="auto"/>
            </w:tcBorders>
            <w:shd w:val="clear" w:color="auto" w:fill="auto"/>
            <w:vAlign w:val="center"/>
            <w:hideMark/>
          </w:tcPr>
          <w:p w14:paraId="2AA6C62C"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MPR for 2TX case</w:t>
            </w:r>
            <w:r w:rsidRPr="002C6E3A">
              <w:rPr>
                <w:rFonts w:ascii="Calibri" w:hAnsi="Calibri"/>
                <w:color w:val="000000"/>
                <w:sz w:val="22"/>
                <w:szCs w:val="22"/>
              </w:rPr>
              <w:br/>
              <w:t>FFS for 1TX</w:t>
            </w:r>
          </w:p>
        </w:tc>
        <w:tc>
          <w:tcPr>
            <w:tcW w:w="2070" w:type="dxa"/>
            <w:tcBorders>
              <w:top w:val="nil"/>
              <w:left w:val="nil"/>
              <w:bottom w:val="single" w:sz="4" w:space="0" w:color="auto"/>
              <w:right w:val="single" w:sz="4" w:space="0" w:color="auto"/>
            </w:tcBorders>
            <w:shd w:val="clear" w:color="auto" w:fill="auto"/>
            <w:vAlign w:val="center"/>
            <w:hideMark/>
          </w:tcPr>
          <w:p w14:paraId="5B0D5DB9"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2TX when applicable implies no MIMO</w:t>
            </w:r>
            <w:r w:rsidRPr="002C6E3A">
              <w:rPr>
                <w:rFonts w:ascii="Calibri" w:hAnsi="Calibri"/>
                <w:color w:val="000000"/>
                <w:sz w:val="22"/>
                <w:szCs w:val="22"/>
              </w:rPr>
              <w:br/>
              <w:t>4TX? For UL CA + UL MIMO?</w:t>
            </w:r>
            <w:r w:rsidRPr="002C6E3A">
              <w:rPr>
                <w:rFonts w:ascii="Calibri" w:hAnsi="Calibri"/>
                <w:color w:val="000000"/>
                <w:sz w:val="22"/>
                <w:szCs w:val="22"/>
              </w:rPr>
              <w:br/>
              <w:t>1TX/2TX vs BW class?</w:t>
            </w:r>
          </w:p>
        </w:tc>
      </w:tr>
      <w:tr w:rsidR="00663B49" w:rsidRPr="002C6E3A" w14:paraId="71643CDD" w14:textId="77777777" w:rsidTr="00663B49">
        <w:trPr>
          <w:trHeight w:val="288"/>
        </w:trPr>
        <w:tc>
          <w:tcPr>
            <w:tcW w:w="1545" w:type="dxa"/>
            <w:tcBorders>
              <w:top w:val="nil"/>
              <w:left w:val="single" w:sz="4" w:space="0" w:color="auto"/>
              <w:bottom w:val="single" w:sz="4" w:space="0" w:color="auto"/>
              <w:right w:val="single" w:sz="4" w:space="0" w:color="auto"/>
            </w:tcBorders>
            <w:shd w:val="clear" w:color="auto" w:fill="auto"/>
            <w:vAlign w:val="bottom"/>
            <w:hideMark/>
          </w:tcPr>
          <w:p w14:paraId="40CCFB9A"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PC3 NRU</w:t>
            </w:r>
          </w:p>
        </w:tc>
        <w:tc>
          <w:tcPr>
            <w:tcW w:w="1800" w:type="dxa"/>
            <w:tcBorders>
              <w:top w:val="nil"/>
              <w:left w:val="nil"/>
              <w:bottom w:val="single" w:sz="4" w:space="0" w:color="auto"/>
              <w:right w:val="single" w:sz="4" w:space="0" w:color="auto"/>
            </w:tcBorders>
            <w:shd w:val="clear" w:color="auto" w:fill="auto"/>
            <w:vAlign w:val="bottom"/>
            <w:hideMark/>
          </w:tcPr>
          <w:p w14:paraId="12DD2D0C"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2x20dBm PA</w:t>
            </w:r>
          </w:p>
        </w:tc>
        <w:tc>
          <w:tcPr>
            <w:tcW w:w="2070" w:type="dxa"/>
            <w:tcBorders>
              <w:top w:val="nil"/>
              <w:left w:val="nil"/>
              <w:bottom w:val="single" w:sz="4" w:space="0" w:color="auto"/>
              <w:right w:val="single" w:sz="4" w:space="0" w:color="auto"/>
            </w:tcBorders>
            <w:shd w:val="clear" w:color="auto" w:fill="auto"/>
            <w:noWrap/>
            <w:vAlign w:val="bottom"/>
            <w:hideMark/>
          </w:tcPr>
          <w:p w14:paraId="4A15E0A1" w14:textId="77777777" w:rsidR="002C6E3A" w:rsidRPr="002C6E3A" w:rsidRDefault="002C6E3A" w:rsidP="002C6E3A">
            <w:pPr>
              <w:overflowPunct/>
              <w:autoSpaceDE/>
              <w:autoSpaceDN/>
              <w:adjustRightInd/>
              <w:spacing w:after="0"/>
              <w:textAlignment w:val="auto"/>
              <w:rPr>
                <w:rFonts w:ascii="Calibri" w:hAnsi="Calibri"/>
                <w:color w:val="000000"/>
                <w:sz w:val="22"/>
                <w:szCs w:val="22"/>
              </w:rPr>
            </w:pPr>
            <w:proofErr w:type="spellStart"/>
            <w:r w:rsidRPr="002C6E3A">
              <w:rPr>
                <w:rFonts w:ascii="Calibri" w:hAnsi="Calibri"/>
                <w:color w:val="000000"/>
                <w:sz w:val="22"/>
                <w:szCs w:val="22"/>
              </w:rPr>
              <w:t>Tx</w:t>
            </w:r>
            <w:proofErr w:type="spellEnd"/>
            <w:r w:rsidRPr="002C6E3A">
              <w:rPr>
                <w:rFonts w:ascii="Calibri" w:hAnsi="Calibri"/>
                <w:color w:val="000000"/>
                <w:sz w:val="22"/>
                <w:szCs w:val="22"/>
              </w:rPr>
              <w:t xml:space="preserve"> Diversity requirement</w:t>
            </w:r>
          </w:p>
        </w:tc>
        <w:tc>
          <w:tcPr>
            <w:tcW w:w="2250" w:type="dxa"/>
            <w:tcBorders>
              <w:top w:val="nil"/>
              <w:left w:val="nil"/>
              <w:bottom w:val="single" w:sz="4" w:space="0" w:color="auto"/>
              <w:right w:val="single" w:sz="4" w:space="0" w:color="auto"/>
            </w:tcBorders>
            <w:shd w:val="clear" w:color="auto" w:fill="auto"/>
            <w:noWrap/>
            <w:vAlign w:val="bottom"/>
            <w:hideMark/>
          </w:tcPr>
          <w:p w14:paraId="44574DF7" w14:textId="77777777" w:rsidR="002C6E3A" w:rsidRPr="002C6E3A" w:rsidRDefault="002C6E3A" w:rsidP="002C6E3A">
            <w:pPr>
              <w:overflowPunct/>
              <w:autoSpaceDE/>
              <w:autoSpaceDN/>
              <w:adjustRightInd/>
              <w:spacing w:after="0"/>
              <w:textAlignment w:val="auto"/>
              <w:rPr>
                <w:rFonts w:ascii="Calibri" w:hAnsi="Calibri"/>
                <w:color w:val="000000"/>
                <w:sz w:val="22"/>
                <w:szCs w:val="22"/>
              </w:rPr>
            </w:pPr>
            <w:r w:rsidRPr="002C6E3A">
              <w:rPr>
                <w:rFonts w:ascii="Calibri" w:hAnsi="Calibri"/>
                <w:color w:val="000000"/>
                <w:sz w:val="22"/>
                <w:szCs w:val="22"/>
              </w:rPr>
              <w:t>PC3 ACLR not agreed</w:t>
            </w:r>
          </w:p>
        </w:tc>
        <w:tc>
          <w:tcPr>
            <w:tcW w:w="2070" w:type="dxa"/>
            <w:tcBorders>
              <w:top w:val="nil"/>
              <w:left w:val="nil"/>
              <w:bottom w:val="single" w:sz="4" w:space="0" w:color="auto"/>
              <w:right w:val="single" w:sz="4" w:space="0" w:color="auto"/>
            </w:tcBorders>
            <w:shd w:val="clear" w:color="auto" w:fill="auto"/>
            <w:vAlign w:val="center"/>
            <w:hideMark/>
          </w:tcPr>
          <w:p w14:paraId="6456CF86"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2TX w/wo UL MIMO</w:t>
            </w:r>
          </w:p>
        </w:tc>
      </w:tr>
      <w:tr w:rsidR="00663B49" w:rsidRPr="002C6E3A" w14:paraId="03262DFC" w14:textId="77777777" w:rsidTr="00663B49">
        <w:trPr>
          <w:trHeight w:val="288"/>
        </w:trPr>
        <w:tc>
          <w:tcPr>
            <w:tcW w:w="1545" w:type="dxa"/>
            <w:tcBorders>
              <w:top w:val="nil"/>
              <w:left w:val="single" w:sz="4" w:space="0" w:color="auto"/>
              <w:bottom w:val="single" w:sz="4" w:space="0" w:color="auto"/>
              <w:right w:val="single" w:sz="4" w:space="0" w:color="auto"/>
            </w:tcBorders>
            <w:shd w:val="clear" w:color="auto" w:fill="auto"/>
            <w:vAlign w:val="bottom"/>
            <w:hideMark/>
          </w:tcPr>
          <w:p w14:paraId="2D7FEDC9"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NR V2X</w:t>
            </w:r>
          </w:p>
        </w:tc>
        <w:tc>
          <w:tcPr>
            <w:tcW w:w="1800" w:type="dxa"/>
            <w:tcBorders>
              <w:top w:val="nil"/>
              <w:left w:val="nil"/>
              <w:bottom w:val="single" w:sz="4" w:space="0" w:color="auto"/>
              <w:right w:val="single" w:sz="4" w:space="0" w:color="auto"/>
            </w:tcBorders>
            <w:shd w:val="clear" w:color="auto" w:fill="auto"/>
            <w:vAlign w:val="bottom"/>
            <w:hideMark/>
          </w:tcPr>
          <w:p w14:paraId="1FD20978"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2xPA</w:t>
            </w:r>
          </w:p>
        </w:tc>
        <w:tc>
          <w:tcPr>
            <w:tcW w:w="2070" w:type="dxa"/>
            <w:tcBorders>
              <w:top w:val="nil"/>
              <w:left w:val="nil"/>
              <w:bottom w:val="single" w:sz="4" w:space="0" w:color="auto"/>
              <w:right w:val="single" w:sz="4" w:space="0" w:color="auto"/>
            </w:tcBorders>
            <w:shd w:val="clear" w:color="auto" w:fill="auto"/>
            <w:noWrap/>
            <w:vAlign w:val="bottom"/>
            <w:hideMark/>
          </w:tcPr>
          <w:p w14:paraId="57C20514" w14:textId="77777777" w:rsidR="002C6E3A" w:rsidRPr="002C6E3A" w:rsidRDefault="002C6E3A" w:rsidP="002C6E3A">
            <w:pPr>
              <w:overflowPunct/>
              <w:autoSpaceDE/>
              <w:autoSpaceDN/>
              <w:adjustRightInd/>
              <w:spacing w:after="0"/>
              <w:textAlignment w:val="auto"/>
              <w:rPr>
                <w:rFonts w:ascii="Calibri" w:hAnsi="Calibri"/>
                <w:color w:val="000000"/>
                <w:sz w:val="22"/>
                <w:szCs w:val="22"/>
              </w:rPr>
            </w:pPr>
            <w:proofErr w:type="spellStart"/>
            <w:r w:rsidRPr="002C6E3A">
              <w:rPr>
                <w:rFonts w:ascii="Calibri" w:hAnsi="Calibri"/>
                <w:color w:val="000000"/>
                <w:sz w:val="22"/>
                <w:szCs w:val="22"/>
              </w:rPr>
              <w:t>Tx</w:t>
            </w:r>
            <w:proofErr w:type="spellEnd"/>
            <w:r w:rsidRPr="002C6E3A">
              <w:rPr>
                <w:rFonts w:ascii="Calibri" w:hAnsi="Calibri"/>
                <w:color w:val="000000"/>
                <w:sz w:val="22"/>
                <w:szCs w:val="22"/>
              </w:rPr>
              <w:t xml:space="preserve"> Diversity mode</w:t>
            </w:r>
          </w:p>
        </w:tc>
        <w:tc>
          <w:tcPr>
            <w:tcW w:w="2250" w:type="dxa"/>
            <w:tcBorders>
              <w:top w:val="nil"/>
              <w:left w:val="nil"/>
              <w:bottom w:val="single" w:sz="4" w:space="0" w:color="auto"/>
              <w:right w:val="single" w:sz="4" w:space="0" w:color="auto"/>
            </w:tcBorders>
            <w:shd w:val="clear" w:color="auto" w:fill="auto"/>
            <w:vAlign w:val="center"/>
            <w:hideMark/>
          </w:tcPr>
          <w:p w14:paraId="4949AADB"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w:t>
            </w:r>
          </w:p>
        </w:tc>
        <w:tc>
          <w:tcPr>
            <w:tcW w:w="2070" w:type="dxa"/>
            <w:tcBorders>
              <w:top w:val="nil"/>
              <w:left w:val="nil"/>
              <w:bottom w:val="single" w:sz="4" w:space="0" w:color="auto"/>
              <w:right w:val="single" w:sz="4" w:space="0" w:color="auto"/>
            </w:tcBorders>
            <w:shd w:val="clear" w:color="auto" w:fill="auto"/>
            <w:vAlign w:val="center"/>
            <w:hideMark/>
          </w:tcPr>
          <w:p w14:paraId="2A2C5E30" w14:textId="77777777" w:rsidR="002C6E3A" w:rsidRPr="002C6E3A" w:rsidRDefault="002C6E3A" w:rsidP="002C6E3A">
            <w:pPr>
              <w:overflowPunct/>
              <w:autoSpaceDE/>
              <w:autoSpaceDN/>
              <w:adjustRightInd/>
              <w:spacing w:after="0"/>
              <w:jc w:val="center"/>
              <w:textAlignment w:val="auto"/>
              <w:rPr>
                <w:rFonts w:ascii="Calibri" w:hAnsi="Calibri"/>
                <w:color w:val="000000"/>
                <w:sz w:val="22"/>
                <w:szCs w:val="22"/>
              </w:rPr>
            </w:pPr>
            <w:r w:rsidRPr="002C6E3A">
              <w:rPr>
                <w:rFonts w:ascii="Calibri" w:hAnsi="Calibri"/>
                <w:color w:val="000000"/>
                <w:sz w:val="22"/>
                <w:szCs w:val="22"/>
              </w:rPr>
              <w:t>?</w:t>
            </w:r>
          </w:p>
        </w:tc>
      </w:tr>
    </w:tbl>
    <w:p w14:paraId="54A843FE" w14:textId="29FEB5AE" w:rsidR="00FF2AB5" w:rsidRDefault="00FF2AB5" w:rsidP="004445EB">
      <w:pPr>
        <w:spacing w:after="0"/>
        <w:jc w:val="center"/>
      </w:pPr>
    </w:p>
    <w:p w14:paraId="6642C609" w14:textId="7420E597" w:rsidR="001F37C7" w:rsidRDefault="00663B49" w:rsidP="001F37C7">
      <w:pPr>
        <w:spacing w:after="0"/>
        <w:rPr>
          <w:b/>
        </w:rPr>
      </w:pPr>
      <w:r>
        <w:rPr>
          <w:b/>
        </w:rPr>
        <w:t>Observations</w:t>
      </w:r>
      <w:r w:rsidR="001F37C7" w:rsidRPr="001F37C7">
        <w:rPr>
          <w:b/>
        </w:rPr>
        <w:t>:</w:t>
      </w:r>
    </w:p>
    <w:p w14:paraId="51B6AF69" w14:textId="5E45DA82" w:rsidR="007B3309" w:rsidRPr="007B3309" w:rsidRDefault="007B3309" w:rsidP="007B3309">
      <w:pPr>
        <w:pStyle w:val="ListParagraph"/>
        <w:numPr>
          <w:ilvl w:val="0"/>
          <w:numId w:val="29"/>
        </w:numPr>
        <w:spacing w:after="0"/>
        <w:rPr>
          <w:b/>
        </w:rPr>
      </w:pPr>
      <w:r>
        <w:rPr>
          <w:b/>
        </w:rPr>
        <w:t>NR-V2X data is missing due to lack of time to recover it</w:t>
      </w:r>
    </w:p>
    <w:p w14:paraId="00F881F4" w14:textId="61B56C50" w:rsidR="00BE11FE" w:rsidRDefault="007B3309" w:rsidP="00CA7C02">
      <w:pPr>
        <w:pStyle w:val="ListParagraph"/>
        <w:numPr>
          <w:ilvl w:val="0"/>
          <w:numId w:val="28"/>
        </w:numPr>
        <w:spacing w:after="0"/>
        <w:jc w:val="both"/>
        <w:rPr>
          <w:b/>
        </w:rPr>
      </w:pPr>
      <w:r>
        <w:rPr>
          <w:b/>
        </w:rPr>
        <w:t>There are cases with 3 different power classes (P2, PC3, 29dBm) and 3 PA capabilities (20, 23 and 26dBm)</w:t>
      </w:r>
    </w:p>
    <w:p w14:paraId="61465602" w14:textId="1F522EB9" w:rsidR="007B3309" w:rsidRDefault="007B3309" w:rsidP="007B3309">
      <w:pPr>
        <w:pStyle w:val="ListParagraph"/>
        <w:numPr>
          <w:ilvl w:val="0"/>
          <w:numId w:val="28"/>
        </w:numPr>
        <w:spacing w:after="0"/>
        <w:jc w:val="both"/>
        <w:rPr>
          <w:b/>
        </w:rPr>
      </w:pPr>
      <w:r>
        <w:rPr>
          <w:b/>
        </w:rPr>
        <w:t>There is potentially one case with 4TX: non-contiguous intra-band UL CA with simultaneous UL MIMO</w:t>
      </w:r>
    </w:p>
    <w:p w14:paraId="2ED73F75" w14:textId="230ED6CD" w:rsidR="007B3309" w:rsidRDefault="007B3309" w:rsidP="007B3309">
      <w:pPr>
        <w:pStyle w:val="ListParagraph"/>
        <w:numPr>
          <w:ilvl w:val="0"/>
          <w:numId w:val="28"/>
        </w:numPr>
        <w:spacing w:after="0"/>
        <w:jc w:val="both"/>
        <w:rPr>
          <w:b/>
        </w:rPr>
      </w:pPr>
      <w:r>
        <w:rPr>
          <w:b/>
        </w:rPr>
        <w:t xml:space="preserve">Many cases rely on well-defined </w:t>
      </w:r>
      <w:proofErr w:type="spellStart"/>
      <w:r>
        <w:rPr>
          <w:b/>
        </w:rPr>
        <w:t>Tx</w:t>
      </w:r>
      <w:proofErr w:type="spellEnd"/>
      <w:r>
        <w:rPr>
          <w:b/>
        </w:rPr>
        <w:t xml:space="preserve"> Diversity requirement and test.</w:t>
      </w:r>
    </w:p>
    <w:p w14:paraId="4B027D33" w14:textId="0CD95B72" w:rsidR="00214D7F" w:rsidRDefault="00214D7F" w:rsidP="007B3309">
      <w:pPr>
        <w:pStyle w:val="ListParagraph"/>
        <w:numPr>
          <w:ilvl w:val="0"/>
          <w:numId w:val="28"/>
        </w:numPr>
        <w:spacing w:after="0"/>
        <w:jc w:val="both"/>
        <w:rPr>
          <w:b/>
        </w:rPr>
      </w:pPr>
      <w:r>
        <w:rPr>
          <w:b/>
        </w:rPr>
        <w:t>Even in release 16 some default 1TX cases may not have quantified requirements for EN DC or UL CA</w:t>
      </w:r>
    </w:p>
    <w:p w14:paraId="0995D4D2" w14:textId="180FBC03" w:rsidR="00214D7F" w:rsidRDefault="00214D7F" w:rsidP="00214D7F">
      <w:pPr>
        <w:pStyle w:val="ListParagraph"/>
        <w:numPr>
          <w:ilvl w:val="1"/>
          <w:numId w:val="28"/>
        </w:numPr>
        <w:spacing w:after="0"/>
        <w:jc w:val="both"/>
        <w:rPr>
          <w:b/>
        </w:rPr>
      </w:pPr>
      <w:r>
        <w:rPr>
          <w:b/>
        </w:rPr>
        <w:t>Some of these cases may have to rely on SUO</w:t>
      </w:r>
      <w:r w:rsidR="00BA0F6A">
        <w:rPr>
          <w:b/>
        </w:rPr>
        <w:t>.</w:t>
      </w:r>
    </w:p>
    <w:p w14:paraId="50378BEB" w14:textId="77777777" w:rsidR="00214D7F" w:rsidRDefault="00214D7F" w:rsidP="007B3309">
      <w:pPr>
        <w:spacing w:after="0"/>
        <w:jc w:val="both"/>
        <w:rPr>
          <w:b/>
        </w:rPr>
      </w:pPr>
    </w:p>
    <w:p w14:paraId="7DFF9740" w14:textId="58932C42" w:rsidR="00214D7F" w:rsidRDefault="00214D7F" w:rsidP="007B3309">
      <w:pPr>
        <w:spacing w:after="0"/>
        <w:jc w:val="both"/>
        <w:rPr>
          <w:b/>
        </w:rPr>
      </w:pPr>
      <w:r>
        <w:rPr>
          <w:b/>
        </w:rPr>
        <w:t>We encourage companies to look at Table 2, complete and amend it as needed to ensure that we identify required capability signaling and requirement gaps for release 16.</w:t>
      </w:r>
    </w:p>
    <w:p w14:paraId="12CE9BEA" w14:textId="77777777" w:rsidR="00A645E7" w:rsidRDefault="00A645E7" w:rsidP="00D269D7">
      <w:pPr>
        <w:pStyle w:val="Heading1"/>
      </w:pPr>
      <w:r>
        <w:t>Conclusions</w:t>
      </w:r>
    </w:p>
    <w:p w14:paraId="0D46579F" w14:textId="246E929A" w:rsidR="00426F33" w:rsidRDefault="006418C7" w:rsidP="002F6184">
      <w:pPr>
        <w:spacing w:after="0"/>
        <w:jc w:val="both"/>
      </w:pPr>
      <w:r>
        <w:t>In this contribution</w:t>
      </w:r>
      <w:r w:rsidR="00D94C42">
        <w:t>,</w:t>
      </w:r>
      <w:r w:rsidR="00596F26">
        <w:t xml:space="preserve"> </w:t>
      </w:r>
      <w:r w:rsidR="006D568C">
        <w:t xml:space="preserve">we </w:t>
      </w:r>
      <w:r w:rsidR="00214D7F">
        <w:t xml:space="preserve">tried to collect as many intra-band 2TX cases </w:t>
      </w:r>
      <w:r w:rsidR="00BA0F6A">
        <w:t xml:space="preserve">as possible </w:t>
      </w:r>
      <w:r w:rsidR="00214D7F">
        <w:t>for Release 15 and 16 and we make the following suggestion:</w:t>
      </w:r>
    </w:p>
    <w:p w14:paraId="60EB6490" w14:textId="77777777" w:rsidR="006D568C" w:rsidRDefault="006D568C" w:rsidP="002F6184">
      <w:pPr>
        <w:spacing w:after="0"/>
        <w:jc w:val="both"/>
      </w:pPr>
    </w:p>
    <w:p w14:paraId="0D187173" w14:textId="2BCB57E1" w:rsidR="00214D7F" w:rsidRDefault="00214D7F" w:rsidP="00214D7F">
      <w:pPr>
        <w:spacing w:after="0"/>
        <w:jc w:val="both"/>
        <w:rPr>
          <w:b/>
        </w:rPr>
      </w:pPr>
      <w:r>
        <w:rPr>
          <w:b/>
        </w:rPr>
        <w:t>We encourage companies to look at Table 2, complete and amend it as needed to ensure that we identify possible capability signaling and requirement gaps for release 16.</w:t>
      </w:r>
    </w:p>
    <w:p w14:paraId="03D6921F" w14:textId="77777777" w:rsidR="00F10F97" w:rsidRDefault="007321E3" w:rsidP="00C8525F">
      <w:pPr>
        <w:pStyle w:val="Heading1"/>
        <w:numPr>
          <w:ilvl w:val="0"/>
          <w:numId w:val="0"/>
        </w:numPr>
        <w:jc w:val="both"/>
      </w:pPr>
      <w:r>
        <w:t>R</w:t>
      </w:r>
      <w:r w:rsidR="00F10F97">
        <w:t>eferences</w:t>
      </w:r>
    </w:p>
    <w:p w14:paraId="7126F18B" w14:textId="58CF0365" w:rsidR="000B5FBE" w:rsidRDefault="00530BA0" w:rsidP="00530BA0">
      <w:r>
        <w:t xml:space="preserve">[1] R4-2005216, </w:t>
      </w:r>
      <w:r w:rsidRPr="00CA5D9E">
        <w:t>WF on Power Class related UL MIMO and other requirements</w:t>
      </w:r>
      <w:r>
        <w:t>, Vivo, RAN4#94Bis-e</w:t>
      </w:r>
    </w:p>
    <w:p w14:paraId="6B124A20" w14:textId="319858D9" w:rsidR="00D625B7" w:rsidRDefault="00D625B7" w:rsidP="00D625B7">
      <w:r>
        <w:t xml:space="preserve">[2] R4-2005652, </w:t>
      </w:r>
      <w:r w:rsidRPr="00D625B7">
        <w:t>WF on Uplink Full Power Transmission</w:t>
      </w:r>
      <w:r>
        <w:t>, Samsung, RAN4#94Bis-e</w:t>
      </w:r>
    </w:p>
    <w:p w14:paraId="31357690" w14:textId="77777777" w:rsidR="00D625B7" w:rsidRDefault="00D625B7" w:rsidP="00530BA0">
      <w:bookmarkStart w:id="2" w:name="_GoBack"/>
      <w:bookmarkEnd w:id="2"/>
    </w:p>
    <w:sectPr w:rsidR="00D625B7" w:rsidSect="00EA0A48">
      <w:footerReference w:type="default" r:id="rId9"/>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9766BC" w14:textId="77777777" w:rsidR="00B04700" w:rsidRDefault="00B04700">
      <w:r>
        <w:separator/>
      </w:r>
    </w:p>
  </w:endnote>
  <w:endnote w:type="continuationSeparator" w:id="0">
    <w:p w14:paraId="49C2A321" w14:textId="77777777" w:rsidR="00B04700" w:rsidRDefault="00B04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E50979" w:rsidRDefault="00E5097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31687C" w14:textId="77777777" w:rsidR="00B04700" w:rsidRDefault="00B04700">
      <w:r>
        <w:separator/>
      </w:r>
    </w:p>
  </w:footnote>
  <w:footnote w:type="continuationSeparator" w:id="0">
    <w:p w14:paraId="073970EC" w14:textId="77777777" w:rsidR="00B04700" w:rsidRDefault="00B047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3EF3"/>
    <w:multiLevelType w:val="hybridMultilevel"/>
    <w:tmpl w:val="81529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nsid w:val="127E186B"/>
    <w:multiLevelType w:val="hybridMultilevel"/>
    <w:tmpl w:val="FE466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955840"/>
    <w:multiLevelType w:val="hybridMultilevel"/>
    <w:tmpl w:val="9C143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1B786E34"/>
    <w:multiLevelType w:val="hybridMultilevel"/>
    <w:tmpl w:val="0688D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0D57CC"/>
    <w:multiLevelType w:val="hybridMultilevel"/>
    <w:tmpl w:val="2982A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824916"/>
    <w:multiLevelType w:val="hybridMultilevel"/>
    <w:tmpl w:val="36ACB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4A560A"/>
    <w:multiLevelType w:val="hybridMultilevel"/>
    <w:tmpl w:val="EE168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E75325"/>
    <w:multiLevelType w:val="hybridMultilevel"/>
    <w:tmpl w:val="0F8E116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nsid w:val="33644007"/>
    <w:multiLevelType w:val="hybridMultilevel"/>
    <w:tmpl w:val="28022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9A10A5"/>
    <w:multiLevelType w:val="hybridMultilevel"/>
    <w:tmpl w:val="64E28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96"/>
        </w:tabs>
        <w:ind w:left="129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4C453DC7"/>
    <w:multiLevelType w:val="hybridMultilevel"/>
    <w:tmpl w:val="86808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FF2188"/>
    <w:multiLevelType w:val="hybridMultilevel"/>
    <w:tmpl w:val="41303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187A7F"/>
    <w:multiLevelType w:val="hybridMultilevel"/>
    <w:tmpl w:val="56B26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E655B3"/>
    <w:multiLevelType w:val="hybridMultilevel"/>
    <w:tmpl w:val="EE7A4F82"/>
    <w:lvl w:ilvl="0" w:tplc="04090001">
      <w:start w:val="1"/>
      <w:numFmt w:val="bullet"/>
      <w:lvlText w:val=""/>
      <w:lvlJc w:val="left"/>
      <w:pPr>
        <w:ind w:left="4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0F7E85"/>
    <w:multiLevelType w:val="hybridMultilevel"/>
    <w:tmpl w:val="680E6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734C57"/>
    <w:multiLevelType w:val="hybridMultilevel"/>
    <w:tmpl w:val="C01EC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794511"/>
    <w:multiLevelType w:val="hybridMultilevel"/>
    <w:tmpl w:val="A5C02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5E23694"/>
    <w:multiLevelType w:val="hybridMultilevel"/>
    <w:tmpl w:val="15DE6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9347B4"/>
    <w:multiLevelType w:val="hybridMultilevel"/>
    <w:tmpl w:val="234208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DBF55E2"/>
    <w:multiLevelType w:val="hybridMultilevel"/>
    <w:tmpl w:val="1504A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EE03547"/>
    <w:multiLevelType w:val="hybridMultilevel"/>
    <w:tmpl w:val="3BE63F24"/>
    <w:lvl w:ilvl="0" w:tplc="AB88EA3A">
      <w:start w:val="1"/>
      <w:numFmt w:val="bullet"/>
      <w:lvlText w:val="•"/>
      <w:lvlJc w:val="left"/>
      <w:pPr>
        <w:tabs>
          <w:tab w:val="num" w:pos="720"/>
        </w:tabs>
        <w:ind w:left="720" w:hanging="360"/>
      </w:pPr>
      <w:rPr>
        <w:rFonts w:ascii="Arial" w:hAnsi="Arial" w:hint="default"/>
      </w:rPr>
    </w:lvl>
    <w:lvl w:ilvl="1" w:tplc="72FEEDA0" w:tentative="1">
      <w:start w:val="1"/>
      <w:numFmt w:val="bullet"/>
      <w:lvlText w:val="•"/>
      <w:lvlJc w:val="left"/>
      <w:pPr>
        <w:tabs>
          <w:tab w:val="num" w:pos="1440"/>
        </w:tabs>
        <w:ind w:left="1440" w:hanging="360"/>
      </w:pPr>
      <w:rPr>
        <w:rFonts w:ascii="Arial" w:hAnsi="Arial" w:hint="default"/>
      </w:rPr>
    </w:lvl>
    <w:lvl w:ilvl="2" w:tplc="B89A8616" w:tentative="1">
      <w:start w:val="1"/>
      <w:numFmt w:val="bullet"/>
      <w:lvlText w:val="•"/>
      <w:lvlJc w:val="left"/>
      <w:pPr>
        <w:tabs>
          <w:tab w:val="num" w:pos="2160"/>
        </w:tabs>
        <w:ind w:left="2160" w:hanging="360"/>
      </w:pPr>
      <w:rPr>
        <w:rFonts w:ascii="Arial" w:hAnsi="Arial" w:hint="default"/>
      </w:rPr>
    </w:lvl>
    <w:lvl w:ilvl="3" w:tplc="8C0E5EE6" w:tentative="1">
      <w:start w:val="1"/>
      <w:numFmt w:val="bullet"/>
      <w:lvlText w:val="•"/>
      <w:lvlJc w:val="left"/>
      <w:pPr>
        <w:tabs>
          <w:tab w:val="num" w:pos="2880"/>
        </w:tabs>
        <w:ind w:left="2880" w:hanging="360"/>
      </w:pPr>
      <w:rPr>
        <w:rFonts w:ascii="Arial" w:hAnsi="Arial" w:hint="default"/>
      </w:rPr>
    </w:lvl>
    <w:lvl w:ilvl="4" w:tplc="1772F14C" w:tentative="1">
      <w:start w:val="1"/>
      <w:numFmt w:val="bullet"/>
      <w:lvlText w:val="•"/>
      <w:lvlJc w:val="left"/>
      <w:pPr>
        <w:tabs>
          <w:tab w:val="num" w:pos="3600"/>
        </w:tabs>
        <w:ind w:left="3600" w:hanging="360"/>
      </w:pPr>
      <w:rPr>
        <w:rFonts w:ascii="Arial" w:hAnsi="Arial" w:hint="default"/>
      </w:rPr>
    </w:lvl>
    <w:lvl w:ilvl="5" w:tplc="8DD485E4" w:tentative="1">
      <w:start w:val="1"/>
      <w:numFmt w:val="bullet"/>
      <w:lvlText w:val="•"/>
      <w:lvlJc w:val="left"/>
      <w:pPr>
        <w:tabs>
          <w:tab w:val="num" w:pos="4320"/>
        </w:tabs>
        <w:ind w:left="4320" w:hanging="360"/>
      </w:pPr>
      <w:rPr>
        <w:rFonts w:ascii="Arial" w:hAnsi="Arial" w:hint="default"/>
      </w:rPr>
    </w:lvl>
    <w:lvl w:ilvl="6" w:tplc="FD9E3938" w:tentative="1">
      <w:start w:val="1"/>
      <w:numFmt w:val="bullet"/>
      <w:lvlText w:val="•"/>
      <w:lvlJc w:val="left"/>
      <w:pPr>
        <w:tabs>
          <w:tab w:val="num" w:pos="5040"/>
        </w:tabs>
        <w:ind w:left="5040" w:hanging="360"/>
      </w:pPr>
      <w:rPr>
        <w:rFonts w:ascii="Arial" w:hAnsi="Arial" w:hint="default"/>
      </w:rPr>
    </w:lvl>
    <w:lvl w:ilvl="7" w:tplc="909C55BC" w:tentative="1">
      <w:start w:val="1"/>
      <w:numFmt w:val="bullet"/>
      <w:lvlText w:val="•"/>
      <w:lvlJc w:val="left"/>
      <w:pPr>
        <w:tabs>
          <w:tab w:val="num" w:pos="5760"/>
        </w:tabs>
        <w:ind w:left="5760" w:hanging="360"/>
      </w:pPr>
      <w:rPr>
        <w:rFonts w:ascii="Arial" w:hAnsi="Arial" w:hint="default"/>
      </w:rPr>
    </w:lvl>
    <w:lvl w:ilvl="8" w:tplc="5D76019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3"/>
  </w:num>
  <w:num w:numId="3">
    <w:abstractNumId w:val="14"/>
  </w:num>
  <w:num w:numId="4">
    <w:abstractNumId w:val="25"/>
  </w:num>
  <w:num w:numId="5">
    <w:abstractNumId w:val="10"/>
  </w:num>
  <w:num w:numId="6">
    <w:abstractNumId w:val="1"/>
  </w:num>
  <w:num w:numId="7">
    <w:abstractNumId w:val="15"/>
  </w:num>
  <w:num w:numId="8">
    <w:abstractNumId w:val="23"/>
  </w:num>
  <w:num w:numId="9">
    <w:abstractNumId w:val="26"/>
  </w:num>
  <w:num w:numId="10">
    <w:abstractNumId w:val="19"/>
  </w:num>
  <w:num w:numId="11">
    <w:abstractNumId w:val="28"/>
  </w:num>
  <w:num w:numId="12">
    <w:abstractNumId w:val="27"/>
  </w:num>
  <w:num w:numId="13">
    <w:abstractNumId w:val="17"/>
  </w:num>
  <w:num w:numId="14">
    <w:abstractNumId w:val="9"/>
  </w:num>
  <w:num w:numId="15">
    <w:abstractNumId w:val="22"/>
  </w:num>
  <w:num w:numId="16">
    <w:abstractNumId w:val="3"/>
  </w:num>
  <w:num w:numId="17">
    <w:abstractNumId w:val="5"/>
  </w:num>
  <w:num w:numId="18">
    <w:abstractNumId w:val="8"/>
  </w:num>
  <w:num w:numId="19">
    <w:abstractNumId w:val="18"/>
  </w:num>
  <w:num w:numId="20">
    <w:abstractNumId w:val="6"/>
  </w:num>
  <w:num w:numId="21">
    <w:abstractNumId w:val="0"/>
  </w:num>
  <w:num w:numId="22">
    <w:abstractNumId w:val="20"/>
  </w:num>
  <w:num w:numId="23">
    <w:abstractNumId w:val="11"/>
  </w:num>
  <w:num w:numId="24">
    <w:abstractNumId w:val="7"/>
  </w:num>
  <w:num w:numId="25">
    <w:abstractNumId w:val="24"/>
  </w:num>
  <w:num w:numId="26">
    <w:abstractNumId w:val="12"/>
  </w:num>
  <w:num w:numId="27">
    <w:abstractNumId w:val="2"/>
  </w:num>
  <w:num w:numId="28">
    <w:abstractNumId w:val="16"/>
  </w:num>
  <w:num w:numId="29">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AD3"/>
    <w:rsid w:val="00025FE8"/>
    <w:rsid w:val="00026262"/>
    <w:rsid w:val="0002648D"/>
    <w:rsid w:val="00026904"/>
    <w:rsid w:val="00026A59"/>
    <w:rsid w:val="00026DA3"/>
    <w:rsid w:val="00026F5D"/>
    <w:rsid w:val="0002723D"/>
    <w:rsid w:val="00027460"/>
    <w:rsid w:val="00027E1B"/>
    <w:rsid w:val="00027EBB"/>
    <w:rsid w:val="000301E7"/>
    <w:rsid w:val="00030386"/>
    <w:rsid w:val="00030FFD"/>
    <w:rsid w:val="00031165"/>
    <w:rsid w:val="00031CC0"/>
    <w:rsid w:val="0003252F"/>
    <w:rsid w:val="00032561"/>
    <w:rsid w:val="000326E2"/>
    <w:rsid w:val="000327B3"/>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CC0"/>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2DB"/>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6A8"/>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625"/>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CE1"/>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6E8"/>
    <w:rsid w:val="001E399C"/>
    <w:rsid w:val="001E3ABE"/>
    <w:rsid w:val="001E3B64"/>
    <w:rsid w:val="001E3E11"/>
    <w:rsid w:val="001E4374"/>
    <w:rsid w:val="001E4987"/>
    <w:rsid w:val="001E4AE1"/>
    <w:rsid w:val="001E4B14"/>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7C7"/>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4D7F"/>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3513"/>
    <w:rsid w:val="00243F07"/>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C4E"/>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1B3"/>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18B"/>
    <w:rsid w:val="002A17A3"/>
    <w:rsid w:val="002A1EF2"/>
    <w:rsid w:val="002A1FAF"/>
    <w:rsid w:val="002A2166"/>
    <w:rsid w:val="002A23C5"/>
    <w:rsid w:val="002A23C8"/>
    <w:rsid w:val="002A2993"/>
    <w:rsid w:val="002A3E86"/>
    <w:rsid w:val="002A41AA"/>
    <w:rsid w:val="002A4264"/>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3A"/>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816"/>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B38"/>
    <w:rsid w:val="00360163"/>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0F2"/>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5EB"/>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0BA0"/>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263"/>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D15"/>
    <w:rsid w:val="00632E8A"/>
    <w:rsid w:val="006331FF"/>
    <w:rsid w:val="00633363"/>
    <w:rsid w:val="00633526"/>
    <w:rsid w:val="00633CB5"/>
    <w:rsid w:val="00634B66"/>
    <w:rsid w:val="00634BD4"/>
    <w:rsid w:val="0063525A"/>
    <w:rsid w:val="00635369"/>
    <w:rsid w:val="00635498"/>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3B4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BD5"/>
    <w:rsid w:val="006920DB"/>
    <w:rsid w:val="006925E6"/>
    <w:rsid w:val="006926BC"/>
    <w:rsid w:val="00692D5B"/>
    <w:rsid w:val="006930A3"/>
    <w:rsid w:val="006933C9"/>
    <w:rsid w:val="0069348D"/>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66B"/>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B8C"/>
    <w:rsid w:val="006C316D"/>
    <w:rsid w:val="006C3804"/>
    <w:rsid w:val="006C3BD0"/>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68C"/>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C4C"/>
    <w:rsid w:val="0074366F"/>
    <w:rsid w:val="007437AE"/>
    <w:rsid w:val="00743A0D"/>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BAF"/>
    <w:rsid w:val="00776DF4"/>
    <w:rsid w:val="00776ECF"/>
    <w:rsid w:val="00777FEA"/>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8E5"/>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D67"/>
    <w:rsid w:val="007B1E88"/>
    <w:rsid w:val="007B2EEB"/>
    <w:rsid w:val="007B3309"/>
    <w:rsid w:val="007B34A4"/>
    <w:rsid w:val="007B3803"/>
    <w:rsid w:val="007B3E89"/>
    <w:rsid w:val="007B4B86"/>
    <w:rsid w:val="007B4CE1"/>
    <w:rsid w:val="007B668A"/>
    <w:rsid w:val="007B692F"/>
    <w:rsid w:val="007B74A3"/>
    <w:rsid w:val="007B75B2"/>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7FB"/>
    <w:rsid w:val="007D782C"/>
    <w:rsid w:val="007D79DC"/>
    <w:rsid w:val="007E0159"/>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1AA"/>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C98"/>
    <w:rsid w:val="008D2F33"/>
    <w:rsid w:val="008D3535"/>
    <w:rsid w:val="008D356F"/>
    <w:rsid w:val="008D436F"/>
    <w:rsid w:val="008D43C4"/>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87F2B"/>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9C2"/>
    <w:rsid w:val="009E4618"/>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766"/>
    <w:rsid w:val="00A35D50"/>
    <w:rsid w:val="00A408CD"/>
    <w:rsid w:val="00A413CA"/>
    <w:rsid w:val="00A4169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E2F"/>
    <w:rsid w:val="00A53FAE"/>
    <w:rsid w:val="00A54416"/>
    <w:rsid w:val="00A54851"/>
    <w:rsid w:val="00A56490"/>
    <w:rsid w:val="00A56CDF"/>
    <w:rsid w:val="00A5744F"/>
    <w:rsid w:val="00A603D6"/>
    <w:rsid w:val="00A62109"/>
    <w:rsid w:val="00A629BC"/>
    <w:rsid w:val="00A62A97"/>
    <w:rsid w:val="00A62CBF"/>
    <w:rsid w:val="00A63468"/>
    <w:rsid w:val="00A63476"/>
    <w:rsid w:val="00A63864"/>
    <w:rsid w:val="00A645DA"/>
    <w:rsid w:val="00A645E7"/>
    <w:rsid w:val="00A6492D"/>
    <w:rsid w:val="00A64983"/>
    <w:rsid w:val="00A64AD4"/>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52"/>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5F9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1D"/>
    <w:rsid w:val="00AF7475"/>
    <w:rsid w:val="00AF7485"/>
    <w:rsid w:val="00AF7FEB"/>
    <w:rsid w:val="00B00C67"/>
    <w:rsid w:val="00B01301"/>
    <w:rsid w:val="00B015FC"/>
    <w:rsid w:val="00B01914"/>
    <w:rsid w:val="00B0196F"/>
    <w:rsid w:val="00B029D8"/>
    <w:rsid w:val="00B02AE0"/>
    <w:rsid w:val="00B02FC1"/>
    <w:rsid w:val="00B03C3F"/>
    <w:rsid w:val="00B04700"/>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0F6A"/>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1FE"/>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EF0"/>
    <w:rsid w:val="00C17F44"/>
    <w:rsid w:val="00C201AD"/>
    <w:rsid w:val="00C204A9"/>
    <w:rsid w:val="00C2080B"/>
    <w:rsid w:val="00C20901"/>
    <w:rsid w:val="00C20E48"/>
    <w:rsid w:val="00C2151F"/>
    <w:rsid w:val="00C21860"/>
    <w:rsid w:val="00C231E4"/>
    <w:rsid w:val="00C232FA"/>
    <w:rsid w:val="00C235FD"/>
    <w:rsid w:val="00C236C1"/>
    <w:rsid w:val="00C23B17"/>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C9D"/>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C16"/>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C02"/>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2AB"/>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15C"/>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91C"/>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5B7"/>
    <w:rsid w:val="00D628A0"/>
    <w:rsid w:val="00D62D9B"/>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3201"/>
    <w:rsid w:val="00D7419B"/>
    <w:rsid w:val="00D74A58"/>
    <w:rsid w:val="00D750B7"/>
    <w:rsid w:val="00D7520C"/>
    <w:rsid w:val="00D75376"/>
    <w:rsid w:val="00D75920"/>
    <w:rsid w:val="00D75FB2"/>
    <w:rsid w:val="00D76AC9"/>
    <w:rsid w:val="00D77849"/>
    <w:rsid w:val="00D7795F"/>
    <w:rsid w:val="00D8001F"/>
    <w:rsid w:val="00D8110F"/>
    <w:rsid w:val="00D8129E"/>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EF3"/>
    <w:rsid w:val="00DB1120"/>
    <w:rsid w:val="00DB1A7B"/>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C30"/>
    <w:rsid w:val="00E17D32"/>
    <w:rsid w:val="00E17EAD"/>
    <w:rsid w:val="00E17FFD"/>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30"/>
    <w:rsid w:val="00E4298D"/>
    <w:rsid w:val="00E42C21"/>
    <w:rsid w:val="00E430DE"/>
    <w:rsid w:val="00E431B1"/>
    <w:rsid w:val="00E437D2"/>
    <w:rsid w:val="00E43CCD"/>
    <w:rsid w:val="00E44258"/>
    <w:rsid w:val="00E443A8"/>
    <w:rsid w:val="00E44587"/>
    <w:rsid w:val="00E44632"/>
    <w:rsid w:val="00E44BCB"/>
    <w:rsid w:val="00E45A7B"/>
    <w:rsid w:val="00E46906"/>
    <w:rsid w:val="00E46BB1"/>
    <w:rsid w:val="00E46D16"/>
    <w:rsid w:val="00E47194"/>
    <w:rsid w:val="00E47CB8"/>
    <w:rsid w:val="00E50271"/>
    <w:rsid w:val="00E50309"/>
    <w:rsid w:val="00E50859"/>
    <w:rsid w:val="00E5097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406E"/>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A64"/>
    <w:rsid w:val="00EF7EC2"/>
    <w:rsid w:val="00F00591"/>
    <w:rsid w:val="00F0075B"/>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77C8"/>
    <w:rsid w:val="00F47EA2"/>
    <w:rsid w:val="00F5020A"/>
    <w:rsid w:val="00F50AA0"/>
    <w:rsid w:val="00F51276"/>
    <w:rsid w:val="00F51CD4"/>
    <w:rsid w:val="00F51E73"/>
    <w:rsid w:val="00F51F24"/>
    <w:rsid w:val="00F522A1"/>
    <w:rsid w:val="00F53253"/>
    <w:rsid w:val="00F533A3"/>
    <w:rsid w:val="00F534BD"/>
    <w:rsid w:val="00F535A2"/>
    <w:rsid w:val="00F53B72"/>
    <w:rsid w:val="00F53BC0"/>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30"/>
    <w:rsid w:val="00FC7B87"/>
    <w:rsid w:val="00FD0697"/>
    <w:rsid w:val="00FD0EDA"/>
    <w:rsid w:val="00FD12ED"/>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ACE"/>
    <w:rsid w:val="00FE2D18"/>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AB5"/>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457413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46918149">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69468357">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4291391">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385564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039679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778510">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108311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777C3-BEA1-4760-89A4-39B20CE45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3</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5462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2020-05-15T19:53:00Z</dcterms:created>
  <dcterms:modified xsi:type="dcterms:W3CDTF">2020-05-15T22:25:00Z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